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120F10F5" w14:textId="77777777" w:rsidR="008B23C9" w:rsidRPr="008B23C9" w:rsidRDefault="008B23C9" w:rsidP="008B23C9">
      <w:pPr>
        <w:tabs>
          <w:tab w:val="left" w:pos="10065"/>
        </w:tabs>
        <w:ind w:left="-426" w:right="-427"/>
        <w:rPr>
          <w:bCs/>
          <w:sz w:val="22"/>
          <w:szCs w:val="22"/>
        </w:rPr>
      </w:pPr>
    </w:p>
    <w:p w14:paraId="101F3222" w14:textId="77777777" w:rsidR="00E80BA1" w:rsidRDefault="008B23C9" w:rsidP="008B23C9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 risultati d</w:t>
      </w:r>
      <w:r w:rsidR="00C724A3">
        <w:rPr>
          <w:bCs/>
          <w:i/>
          <w:iCs/>
          <w:sz w:val="22"/>
          <w:szCs w:val="22"/>
        </w:rPr>
        <w:t xml:space="preserve">el Focus di </w:t>
      </w:r>
      <w:r>
        <w:rPr>
          <w:bCs/>
          <w:i/>
          <w:iCs/>
          <w:sz w:val="22"/>
          <w:szCs w:val="22"/>
        </w:rPr>
        <w:t>Confindustria Veneto E</w:t>
      </w:r>
      <w:r w:rsidR="00C00B4D">
        <w:rPr>
          <w:bCs/>
          <w:i/>
          <w:iCs/>
          <w:sz w:val="22"/>
          <w:szCs w:val="22"/>
        </w:rPr>
        <w:t>st sulle intenzioni di investimento e assunzione delle i</w:t>
      </w:r>
      <w:r w:rsidR="00E80BA1">
        <w:rPr>
          <w:bCs/>
          <w:i/>
          <w:iCs/>
          <w:sz w:val="22"/>
          <w:szCs w:val="22"/>
        </w:rPr>
        <w:t>mprese</w:t>
      </w:r>
    </w:p>
    <w:p w14:paraId="50C6D80F" w14:textId="2FC41325" w:rsidR="008B23C9" w:rsidRDefault="00E80BA1" w:rsidP="008B23C9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di Padova, Treviso, Venezia e Rovigo</w:t>
      </w:r>
    </w:p>
    <w:p w14:paraId="17C09B92" w14:textId="52C81EE2" w:rsidR="003A0DF1" w:rsidRPr="00F26DD8" w:rsidRDefault="003A0DF1" w:rsidP="00BC51C0">
      <w:pPr>
        <w:ind w:left="-142" w:right="-143"/>
        <w:jc w:val="center"/>
        <w:rPr>
          <w:i/>
          <w:sz w:val="16"/>
          <w:szCs w:val="16"/>
        </w:rPr>
      </w:pPr>
      <w:r w:rsidRPr="00F26DD8">
        <w:rPr>
          <w:i/>
          <w:sz w:val="16"/>
          <w:szCs w:val="16"/>
        </w:rPr>
        <w:t xml:space="preserve"> </w:t>
      </w:r>
    </w:p>
    <w:p w14:paraId="77D94EDE" w14:textId="77777777" w:rsidR="008F13CE" w:rsidRDefault="00BF148A" w:rsidP="003D7DEE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bookmarkStart w:id="0" w:name="_Hlk125308715"/>
      <w:r>
        <w:rPr>
          <w:b/>
          <w:sz w:val="28"/>
          <w:szCs w:val="28"/>
        </w:rPr>
        <w:t xml:space="preserve">VENETO EST: </w:t>
      </w:r>
      <w:r w:rsidR="006647F2">
        <w:rPr>
          <w:b/>
          <w:sz w:val="28"/>
          <w:szCs w:val="28"/>
        </w:rPr>
        <w:t>INCERTEZZA, TASSI E RITARDI INDUSTRIA 5.0</w:t>
      </w:r>
    </w:p>
    <w:p w14:paraId="3F221F8A" w14:textId="3290CB70" w:rsidR="004D7B67" w:rsidRDefault="004D7B67" w:rsidP="003D7DEE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 2024 INVESTIMENT</w:t>
      </w:r>
      <w:r w:rsidRPr="004D7B67">
        <w:rPr>
          <w:b/>
          <w:caps/>
          <w:sz w:val="28"/>
          <w:szCs w:val="28"/>
        </w:rPr>
        <w:t>I Giù PER</w:t>
      </w:r>
      <w:r>
        <w:rPr>
          <w:b/>
          <w:sz w:val="28"/>
          <w:szCs w:val="28"/>
        </w:rPr>
        <w:t xml:space="preserve"> IL 27,2% DELLE</w:t>
      </w:r>
      <w:r w:rsidR="008F1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IMPRESE</w:t>
      </w:r>
    </w:p>
    <w:bookmarkEnd w:id="0"/>
    <w:p w14:paraId="6CB47AD3" w14:textId="7C7AB57A" w:rsidR="009A4420" w:rsidRPr="00F26DD8" w:rsidRDefault="009A4420" w:rsidP="00523F81">
      <w:pPr>
        <w:tabs>
          <w:tab w:val="left" w:pos="9072"/>
        </w:tabs>
        <w:ind w:left="567" w:right="566"/>
        <w:jc w:val="center"/>
        <w:rPr>
          <w:sz w:val="16"/>
          <w:szCs w:val="16"/>
        </w:rPr>
      </w:pPr>
    </w:p>
    <w:p w14:paraId="4F869C99" w14:textId="73CF7625" w:rsidR="007204C0" w:rsidRDefault="00DA2EB0" w:rsidP="007D77EE">
      <w:pPr>
        <w:ind w:left="-567" w:right="-568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La propensione ad investire nei p</w:t>
      </w:r>
      <w:r w:rsidR="00980D59">
        <w:rPr>
          <w:bCs/>
          <w:i/>
          <w:iCs/>
          <w:sz w:val="22"/>
          <w:szCs w:val="22"/>
        </w:rPr>
        <w:t>rossim</w:t>
      </w:r>
      <w:r w:rsidR="000A6752">
        <w:rPr>
          <w:bCs/>
          <w:i/>
          <w:iCs/>
          <w:sz w:val="22"/>
          <w:szCs w:val="22"/>
        </w:rPr>
        <w:t xml:space="preserve">i sei </w:t>
      </w:r>
      <w:r w:rsidR="00980D59">
        <w:rPr>
          <w:bCs/>
          <w:i/>
          <w:iCs/>
          <w:sz w:val="22"/>
          <w:szCs w:val="22"/>
        </w:rPr>
        <w:t xml:space="preserve">mesi (in discesa) </w:t>
      </w:r>
      <w:r w:rsidR="003D7DEE">
        <w:rPr>
          <w:bCs/>
          <w:i/>
          <w:iCs/>
          <w:sz w:val="22"/>
          <w:szCs w:val="22"/>
        </w:rPr>
        <w:t>riguarda il 72,8%</w:t>
      </w:r>
      <w:r w:rsidR="004D7B67">
        <w:rPr>
          <w:bCs/>
          <w:i/>
          <w:iCs/>
          <w:sz w:val="22"/>
          <w:szCs w:val="22"/>
        </w:rPr>
        <w:t xml:space="preserve"> delle aziende, </w:t>
      </w:r>
      <w:r w:rsidR="003D7DEE">
        <w:rPr>
          <w:bCs/>
          <w:i/>
          <w:iCs/>
          <w:sz w:val="22"/>
          <w:szCs w:val="22"/>
        </w:rPr>
        <w:t xml:space="preserve">prevale la stabilità </w:t>
      </w:r>
      <w:r>
        <w:rPr>
          <w:bCs/>
          <w:i/>
          <w:iCs/>
          <w:sz w:val="22"/>
          <w:szCs w:val="22"/>
        </w:rPr>
        <w:t>(57,8).</w:t>
      </w:r>
      <w:r w:rsidR="004D7B67">
        <w:rPr>
          <w:bCs/>
          <w:i/>
          <w:iCs/>
          <w:sz w:val="22"/>
          <w:szCs w:val="22"/>
        </w:rPr>
        <w:t xml:space="preserve"> </w:t>
      </w:r>
      <w:r w:rsidR="007204C0">
        <w:rPr>
          <w:bCs/>
          <w:i/>
          <w:iCs/>
          <w:sz w:val="22"/>
          <w:szCs w:val="22"/>
        </w:rPr>
        <w:t>Tra gli ambiti di investi</w:t>
      </w:r>
      <w:r w:rsidR="003D7DEE">
        <w:rPr>
          <w:bCs/>
          <w:i/>
          <w:iCs/>
          <w:sz w:val="22"/>
          <w:szCs w:val="22"/>
        </w:rPr>
        <w:t xml:space="preserve">mento i driver sono </w:t>
      </w:r>
      <w:r w:rsidR="007204C0">
        <w:rPr>
          <w:bCs/>
          <w:i/>
          <w:iCs/>
          <w:sz w:val="22"/>
          <w:szCs w:val="22"/>
        </w:rPr>
        <w:t>formazione (</w:t>
      </w:r>
      <w:r w:rsidR="003619EB">
        <w:rPr>
          <w:bCs/>
          <w:i/>
          <w:iCs/>
          <w:sz w:val="22"/>
          <w:szCs w:val="22"/>
        </w:rPr>
        <w:t>78,4%</w:t>
      </w:r>
      <w:r w:rsidR="007204C0">
        <w:rPr>
          <w:bCs/>
          <w:i/>
          <w:iCs/>
          <w:sz w:val="22"/>
          <w:szCs w:val="22"/>
        </w:rPr>
        <w:t>)</w:t>
      </w:r>
      <w:r w:rsidR="0069250A">
        <w:rPr>
          <w:bCs/>
          <w:i/>
          <w:iCs/>
          <w:sz w:val="22"/>
          <w:szCs w:val="22"/>
        </w:rPr>
        <w:t xml:space="preserve">, </w:t>
      </w:r>
      <w:r w:rsidR="007204C0">
        <w:rPr>
          <w:bCs/>
          <w:i/>
          <w:iCs/>
          <w:sz w:val="22"/>
          <w:szCs w:val="22"/>
        </w:rPr>
        <w:t>tecnologie informatiche (</w:t>
      </w:r>
      <w:r w:rsidR="003619EB">
        <w:rPr>
          <w:bCs/>
          <w:i/>
          <w:iCs/>
          <w:sz w:val="22"/>
          <w:szCs w:val="22"/>
        </w:rPr>
        <w:t>63,9</w:t>
      </w:r>
      <w:r w:rsidR="007204C0">
        <w:rPr>
          <w:bCs/>
          <w:i/>
          <w:iCs/>
          <w:sz w:val="22"/>
          <w:szCs w:val="22"/>
        </w:rPr>
        <w:t>), welfare aziendale</w:t>
      </w:r>
      <w:r w:rsidR="00F92E4B">
        <w:rPr>
          <w:bCs/>
          <w:i/>
          <w:iCs/>
          <w:sz w:val="22"/>
          <w:szCs w:val="22"/>
        </w:rPr>
        <w:t xml:space="preserve"> (</w:t>
      </w:r>
      <w:r w:rsidR="003619EB">
        <w:rPr>
          <w:bCs/>
          <w:i/>
          <w:iCs/>
          <w:sz w:val="22"/>
          <w:szCs w:val="22"/>
        </w:rPr>
        <w:t>61%</w:t>
      </w:r>
      <w:r w:rsidR="00F92E4B">
        <w:rPr>
          <w:bCs/>
          <w:i/>
          <w:iCs/>
          <w:sz w:val="22"/>
          <w:szCs w:val="22"/>
        </w:rPr>
        <w:t xml:space="preserve">), </w:t>
      </w:r>
      <w:r w:rsidR="007204C0">
        <w:rPr>
          <w:bCs/>
          <w:i/>
          <w:iCs/>
          <w:sz w:val="22"/>
          <w:szCs w:val="22"/>
        </w:rPr>
        <w:t>impianti e macchina</w:t>
      </w:r>
      <w:r w:rsidR="00F92E4B">
        <w:rPr>
          <w:bCs/>
          <w:i/>
          <w:iCs/>
          <w:sz w:val="22"/>
          <w:szCs w:val="22"/>
        </w:rPr>
        <w:t>ri. Aumenta il ricorso all’autofinanziamento. Al netto di sostitu</w:t>
      </w:r>
      <w:r w:rsidR="003619EB">
        <w:rPr>
          <w:bCs/>
          <w:i/>
          <w:iCs/>
          <w:sz w:val="22"/>
          <w:szCs w:val="22"/>
        </w:rPr>
        <w:t>zioni, il 54,2% farà nuove assunzioni.</w:t>
      </w:r>
    </w:p>
    <w:p w14:paraId="42CCBE94" w14:textId="77777777" w:rsidR="0069250A" w:rsidRPr="00F92E4B" w:rsidRDefault="0069250A" w:rsidP="007D77EE">
      <w:pPr>
        <w:tabs>
          <w:tab w:val="left" w:pos="9923"/>
          <w:tab w:val="left" w:pos="10065"/>
        </w:tabs>
        <w:ind w:left="-567" w:right="-568"/>
        <w:jc w:val="center"/>
        <w:rPr>
          <w:bCs/>
          <w:i/>
          <w:iCs/>
          <w:sz w:val="16"/>
          <w:szCs w:val="16"/>
        </w:rPr>
      </w:pPr>
    </w:p>
    <w:p w14:paraId="545C2C95" w14:textId="77777777" w:rsidR="00A713EA" w:rsidRDefault="003D5F35" w:rsidP="007D77EE">
      <w:pPr>
        <w:tabs>
          <w:tab w:val="left" w:pos="10348"/>
        </w:tabs>
        <w:ind w:left="-567" w:right="-568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Il Vicepresident</w:t>
      </w:r>
      <w:r w:rsidR="00F616E3">
        <w:rPr>
          <w:bCs/>
          <w:i/>
          <w:iCs/>
          <w:sz w:val="22"/>
          <w:szCs w:val="22"/>
        </w:rPr>
        <w:t>e vicari</w:t>
      </w:r>
      <w:r w:rsidR="00A713EA">
        <w:rPr>
          <w:bCs/>
          <w:i/>
          <w:iCs/>
          <w:sz w:val="22"/>
          <w:szCs w:val="22"/>
        </w:rPr>
        <w:t xml:space="preserve">o Alberto Zanatta: </w:t>
      </w:r>
      <w:r w:rsidR="007D77EE">
        <w:rPr>
          <w:bCs/>
          <w:i/>
          <w:iCs/>
          <w:sz w:val="22"/>
          <w:szCs w:val="22"/>
        </w:rPr>
        <w:t>«</w:t>
      </w:r>
      <w:r w:rsidR="00B86A6E">
        <w:rPr>
          <w:bCs/>
          <w:i/>
          <w:iCs/>
          <w:sz w:val="22"/>
          <w:szCs w:val="22"/>
        </w:rPr>
        <w:t>Subito i decreti Industria 5.0</w:t>
      </w:r>
      <w:r w:rsidR="00156DFF">
        <w:rPr>
          <w:bCs/>
          <w:i/>
          <w:iCs/>
          <w:sz w:val="22"/>
          <w:szCs w:val="22"/>
        </w:rPr>
        <w:t xml:space="preserve"> </w:t>
      </w:r>
      <w:r w:rsidR="00B86A6E">
        <w:rPr>
          <w:bCs/>
          <w:i/>
          <w:iCs/>
          <w:sz w:val="22"/>
          <w:szCs w:val="22"/>
        </w:rPr>
        <w:t>e t</w:t>
      </w:r>
      <w:r>
        <w:rPr>
          <w:bCs/>
          <w:i/>
          <w:iCs/>
          <w:sz w:val="22"/>
          <w:szCs w:val="22"/>
        </w:rPr>
        <w:t>assi ancora giù per spingere gli investimenti</w:t>
      </w:r>
    </w:p>
    <w:p w14:paraId="4649B0CD" w14:textId="2833C110" w:rsidR="00523F81" w:rsidRDefault="003D5F35" w:rsidP="007D77EE">
      <w:pPr>
        <w:tabs>
          <w:tab w:val="left" w:pos="10348"/>
        </w:tabs>
        <w:ind w:left="-567" w:right="-568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 la crescita</w:t>
      </w:r>
      <w:r w:rsidR="00523F81">
        <w:rPr>
          <w:bCs/>
          <w:i/>
          <w:iCs/>
          <w:sz w:val="22"/>
          <w:szCs w:val="22"/>
        </w:rPr>
        <w:t>»</w:t>
      </w:r>
      <w:r w:rsidR="00A713EA">
        <w:rPr>
          <w:bCs/>
          <w:i/>
          <w:iCs/>
          <w:sz w:val="22"/>
          <w:szCs w:val="22"/>
        </w:rPr>
        <w:t>. Il Delegato Ufficio Studi Federico Zoppas: «Le imprese reagiscono ma chiedono regole certe»</w:t>
      </w:r>
    </w:p>
    <w:p w14:paraId="4DB6B5AE" w14:textId="77777777" w:rsidR="00EB4BDA" w:rsidRDefault="00EB4BDA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5459E852" w14:textId="418CB2DE" w:rsidR="00303939" w:rsidRDefault="003A0DF1" w:rsidP="00DF4C9B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(Padova-Treviso-Venezia-Rovig</w:t>
      </w:r>
      <w:r w:rsidR="00257DF7">
        <w:rPr>
          <w:sz w:val="22"/>
        </w:rPr>
        <w:t>o</w:t>
      </w:r>
      <w:r w:rsidR="0052148F">
        <w:rPr>
          <w:sz w:val="22"/>
        </w:rPr>
        <w:t xml:space="preserve"> - 02.07.2024</w:t>
      </w:r>
      <w:r>
        <w:rPr>
          <w:sz w:val="22"/>
        </w:rPr>
        <w:t>)</w:t>
      </w:r>
      <w:bookmarkStart w:id="1" w:name="_Hlk118972705"/>
      <w:r w:rsidR="00AF5A0D">
        <w:rPr>
          <w:sz w:val="22"/>
        </w:rPr>
        <w:t xml:space="preserve"> - Lo scenario m</w:t>
      </w:r>
      <w:r w:rsidR="00875BDE">
        <w:rPr>
          <w:sz w:val="22"/>
        </w:rPr>
        <w:t>acroeconomic</w:t>
      </w:r>
      <w:r w:rsidR="008A1070">
        <w:rPr>
          <w:sz w:val="22"/>
        </w:rPr>
        <w:t xml:space="preserve">o in chiaroscuro </w:t>
      </w:r>
      <w:r w:rsidR="00303939">
        <w:rPr>
          <w:sz w:val="22"/>
        </w:rPr>
        <w:t>e i primi mesi del 2024 caratterizzati da una produ</w:t>
      </w:r>
      <w:r w:rsidR="00F56ED1">
        <w:rPr>
          <w:sz w:val="22"/>
        </w:rPr>
        <w:t xml:space="preserve">zione manifatturiera ancora in contrazione </w:t>
      </w:r>
      <w:r w:rsidR="00875BDE">
        <w:rPr>
          <w:sz w:val="22"/>
        </w:rPr>
        <w:t>(-2,2%</w:t>
      </w:r>
      <w:r w:rsidR="000B76B3">
        <w:rPr>
          <w:sz w:val="22"/>
        </w:rPr>
        <w:t xml:space="preserve"> tendenziale </w:t>
      </w:r>
      <w:r w:rsidR="00F2670A">
        <w:rPr>
          <w:sz w:val="22"/>
        </w:rPr>
        <w:t>nel primo trimestr</w:t>
      </w:r>
      <w:r w:rsidR="00EB4BDA">
        <w:rPr>
          <w:sz w:val="22"/>
        </w:rPr>
        <w:t>e, non si intravedono segnali di svolta a breve</w:t>
      </w:r>
      <w:r w:rsidR="00875BDE">
        <w:rPr>
          <w:sz w:val="22"/>
        </w:rPr>
        <w:t>)</w:t>
      </w:r>
      <w:r w:rsidR="00303939">
        <w:rPr>
          <w:sz w:val="22"/>
        </w:rPr>
        <w:t xml:space="preserve">, </w:t>
      </w:r>
      <w:r w:rsidR="00F2670A">
        <w:rPr>
          <w:sz w:val="22"/>
        </w:rPr>
        <w:t>la domanda in stand-by d</w:t>
      </w:r>
      <w:r w:rsidR="0046291E">
        <w:rPr>
          <w:sz w:val="22"/>
        </w:rPr>
        <w:t>a divers</w:t>
      </w:r>
      <w:r w:rsidR="00CE414D">
        <w:rPr>
          <w:sz w:val="22"/>
        </w:rPr>
        <w:t>i (troppi) mesi, in attesa dei nuovi provvedimenti per Industria 5.0,</w:t>
      </w:r>
      <w:r w:rsidR="00CE414D" w:rsidRPr="00303939">
        <w:rPr>
          <w:sz w:val="22"/>
        </w:rPr>
        <w:t xml:space="preserve"> </w:t>
      </w:r>
      <w:r w:rsidR="00CE414D" w:rsidRPr="00303939">
        <w:rPr>
          <w:b/>
          <w:bCs/>
          <w:sz w:val="22"/>
        </w:rPr>
        <w:t>raffreddano gli investimenti</w:t>
      </w:r>
      <w:r w:rsidR="00CE414D" w:rsidRPr="00DF7F58">
        <w:rPr>
          <w:b/>
          <w:bCs/>
          <w:sz w:val="22"/>
        </w:rPr>
        <w:t xml:space="preserve"> delle imprese del V</w:t>
      </w:r>
      <w:r w:rsidR="008A1070">
        <w:rPr>
          <w:b/>
          <w:bCs/>
          <w:sz w:val="22"/>
        </w:rPr>
        <w:t>eneto Est</w:t>
      </w:r>
      <w:r w:rsidR="00CE414D" w:rsidRPr="00303939">
        <w:rPr>
          <w:sz w:val="22"/>
        </w:rPr>
        <w:t>.</w:t>
      </w:r>
      <w:r w:rsidR="008A1070">
        <w:rPr>
          <w:sz w:val="22"/>
        </w:rPr>
        <w:t xml:space="preserve"> </w:t>
      </w:r>
      <w:r w:rsidR="00303939">
        <w:rPr>
          <w:sz w:val="22"/>
        </w:rPr>
        <w:t xml:space="preserve">Nonostante questa prevedibile fase di rallentamento, la </w:t>
      </w:r>
      <w:r w:rsidR="0046291E" w:rsidRPr="009457F5">
        <w:rPr>
          <w:b/>
          <w:bCs/>
          <w:sz w:val="22"/>
        </w:rPr>
        <w:t>propensione ad investire</w:t>
      </w:r>
      <w:r w:rsidR="0046291E">
        <w:rPr>
          <w:sz w:val="22"/>
        </w:rPr>
        <w:t xml:space="preserve"> nei prossim</w:t>
      </w:r>
      <w:r w:rsidR="000A6752">
        <w:rPr>
          <w:sz w:val="22"/>
        </w:rPr>
        <w:t xml:space="preserve">i sei </w:t>
      </w:r>
      <w:r w:rsidR="0046291E">
        <w:rPr>
          <w:sz w:val="22"/>
        </w:rPr>
        <w:t>m</w:t>
      </w:r>
      <w:r w:rsidR="00B141F0">
        <w:rPr>
          <w:sz w:val="22"/>
        </w:rPr>
        <w:t xml:space="preserve">esi </w:t>
      </w:r>
      <w:r w:rsidR="0046291E">
        <w:rPr>
          <w:sz w:val="22"/>
        </w:rPr>
        <w:t>r</w:t>
      </w:r>
      <w:r w:rsidR="009457F5">
        <w:rPr>
          <w:sz w:val="22"/>
        </w:rPr>
        <w:t>iguard</w:t>
      </w:r>
      <w:r w:rsidR="00DF7F58">
        <w:rPr>
          <w:sz w:val="22"/>
        </w:rPr>
        <w:t xml:space="preserve">a nel complesso </w:t>
      </w:r>
      <w:r w:rsidR="009457F5">
        <w:rPr>
          <w:sz w:val="22"/>
        </w:rPr>
        <w:t xml:space="preserve">il </w:t>
      </w:r>
      <w:r w:rsidR="0046291E" w:rsidRPr="009457F5">
        <w:rPr>
          <w:b/>
          <w:bCs/>
          <w:sz w:val="22"/>
        </w:rPr>
        <w:t>72,8% delle imprese</w:t>
      </w:r>
      <w:r w:rsidR="00A65557">
        <w:rPr>
          <w:b/>
          <w:bCs/>
          <w:sz w:val="22"/>
        </w:rPr>
        <w:t xml:space="preserve"> </w:t>
      </w:r>
      <w:r w:rsidR="0046291E" w:rsidRPr="009457F5">
        <w:rPr>
          <w:b/>
          <w:bCs/>
          <w:sz w:val="22"/>
        </w:rPr>
        <w:t>di Padova, Treviso, Venezia e Rovig</w:t>
      </w:r>
      <w:r w:rsidR="009457F5" w:rsidRPr="009457F5">
        <w:rPr>
          <w:b/>
          <w:bCs/>
          <w:sz w:val="22"/>
        </w:rPr>
        <w:t>o</w:t>
      </w:r>
      <w:r w:rsidR="009457F5">
        <w:rPr>
          <w:sz w:val="22"/>
        </w:rPr>
        <w:t xml:space="preserve"> (in discesa dal 79,4% dello stesso periodo 2023). Ma il dato di fondo è la stabilità </w:t>
      </w:r>
      <w:r w:rsidR="0046291E">
        <w:rPr>
          <w:sz w:val="22"/>
        </w:rPr>
        <w:t>(</w:t>
      </w:r>
      <w:r w:rsidR="009457F5">
        <w:rPr>
          <w:sz w:val="22"/>
        </w:rPr>
        <w:t>57,8%</w:t>
      </w:r>
      <w:r w:rsidR="0046291E">
        <w:rPr>
          <w:sz w:val="22"/>
        </w:rPr>
        <w:t>)</w:t>
      </w:r>
      <w:r w:rsidR="005F1791">
        <w:rPr>
          <w:sz w:val="22"/>
        </w:rPr>
        <w:t xml:space="preserve">; </w:t>
      </w:r>
      <w:r w:rsidR="00C40B8D" w:rsidRPr="008A1070">
        <w:rPr>
          <w:sz w:val="22"/>
        </w:rPr>
        <w:t xml:space="preserve">quasi </w:t>
      </w:r>
      <w:r w:rsidR="00C40B8D" w:rsidRPr="00C40B8D">
        <w:rPr>
          <w:b/>
          <w:bCs/>
          <w:sz w:val="22"/>
        </w:rPr>
        <w:t xml:space="preserve">tre imprese su dieci </w:t>
      </w:r>
      <w:r w:rsidR="009457F5" w:rsidRPr="00C40B8D">
        <w:rPr>
          <w:b/>
          <w:bCs/>
          <w:sz w:val="22"/>
        </w:rPr>
        <w:t>(27,2%)</w:t>
      </w:r>
      <w:r w:rsidR="00B259A6">
        <w:rPr>
          <w:sz w:val="22"/>
        </w:rPr>
        <w:t>, con un’incidenza maggiore tra le piccole (</w:t>
      </w:r>
      <w:r w:rsidR="005837EE">
        <w:rPr>
          <w:sz w:val="22"/>
        </w:rPr>
        <w:t>30,1%</w:t>
      </w:r>
      <w:r w:rsidR="00402A02">
        <w:rPr>
          <w:sz w:val="22"/>
        </w:rPr>
        <w:t>)</w:t>
      </w:r>
      <w:r w:rsidR="00F56ED1">
        <w:rPr>
          <w:sz w:val="22"/>
        </w:rPr>
        <w:t>,</w:t>
      </w:r>
      <w:r w:rsidR="005F1791">
        <w:rPr>
          <w:sz w:val="22"/>
        </w:rPr>
        <w:t xml:space="preserve"> intendono ridurre gli investimenti, rispetto ai livelli dell’anno precedente; </w:t>
      </w:r>
      <w:r w:rsidR="00303939">
        <w:rPr>
          <w:sz w:val="22"/>
        </w:rPr>
        <w:t>il 15% invece li aumenterà.</w:t>
      </w:r>
    </w:p>
    <w:p w14:paraId="5ADA1B02" w14:textId="61CB945D" w:rsidR="00200CFD" w:rsidRDefault="00E4508F" w:rsidP="00200CFD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Sul piano quantitativ</w:t>
      </w:r>
      <w:r w:rsidR="000A6752">
        <w:rPr>
          <w:sz w:val="22"/>
        </w:rPr>
        <w:t xml:space="preserve">o, </w:t>
      </w:r>
      <w:r w:rsidR="000A6752" w:rsidRPr="004C3204">
        <w:rPr>
          <w:b/>
          <w:bCs/>
          <w:sz w:val="22"/>
        </w:rPr>
        <w:t xml:space="preserve">nel corso del 2024 </w:t>
      </w:r>
      <w:r w:rsidR="0075793F" w:rsidRPr="004C3204">
        <w:rPr>
          <w:b/>
          <w:bCs/>
          <w:sz w:val="22"/>
        </w:rPr>
        <w:t>il 40,8</w:t>
      </w:r>
      <w:r w:rsidR="0075793F" w:rsidRPr="0075793F">
        <w:rPr>
          <w:b/>
          <w:bCs/>
          <w:sz w:val="22"/>
        </w:rPr>
        <w:t>% degli imprenditori</w:t>
      </w:r>
      <w:r w:rsidR="0075793F" w:rsidRPr="00303939">
        <w:rPr>
          <w:b/>
          <w:bCs/>
          <w:sz w:val="22"/>
        </w:rPr>
        <w:t xml:space="preserve"> </w:t>
      </w:r>
      <w:r w:rsidR="005F4425" w:rsidRPr="00303939">
        <w:rPr>
          <w:b/>
          <w:bCs/>
          <w:sz w:val="22"/>
        </w:rPr>
        <w:t xml:space="preserve">prevede di investire </w:t>
      </w:r>
      <w:r w:rsidR="005F4425" w:rsidRPr="005F4425">
        <w:rPr>
          <w:b/>
          <w:bCs/>
          <w:sz w:val="22"/>
        </w:rPr>
        <w:t>tra l’1</w:t>
      </w:r>
      <w:r w:rsidR="00402A02">
        <w:rPr>
          <w:b/>
          <w:bCs/>
          <w:sz w:val="22"/>
        </w:rPr>
        <w:t xml:space="preserve"> </w:t>
      </w:r>
      <w:r w:rsidR="00E53A25">
        <w:rPr>
          <w:b/>
          <w:bCs/>
          <w:sz w:val="22"/>
        </w:rPr>
        <w:t xml:space="preserve">e il </w:t>
      </w:r>
      <w:r w:rsidR="005F4425" w:rsidRPr="005F4425">
        <w:rPr>
          <w:b/>
          <w:bCs/>
          <w:sz w:val="22"/>
        </w:rPr>
        <w:t>2% del fatturato</w:t>
      </w:r>
      <w:r w:rsidR="005F4425">
        <w:rPr>
          <w:sz w:val="22"/>
        </w:rPr>
        <w:t xml:space="preserve">; circa tre su dieci (28,9%) una quota compresa tra il 3-5%; il 16% </w:t>
      </w:r>
      <w:r w:rsidR="00E53A25">
        <w:rPr>
          <w:sz w:val="22"/>
        </w:rPr>
        <w:t>(</w:t>
      </w:r>
      <w:r w:rsidR="000A6752">
        <w:rPr>
          <w:sz w:val="22"/>
        </w:rPr>
        <w:t>dal 25% nel 2023</w:t>
      </w:r>
      <w:r w:rsidR="00E53A25">
        <w:rPr>
          <w:sz w:val="22"/>
        </w:rPr>
        <w:t xml:space="preserve">) </w:t>
      </w:r>
      <w:r w:rsidR="005F4425">
        <w:rPr>
          <w:sz w:val="22"/>
        </w:rPr>
        <w:t>oltre il 5% dei ricavi (il 4,6% oltre il 10).</w:t>
      </w:r>
      <w:r w:rsidR="00F56ED1">
        <w:rPr>
          <w:sz w:val="22"/>
        </w:rPr>
        <w:t xml:space="preserve"> Innovazione e capitale umano rappresentano i driver per gli investi</w:t>
      </w:r>
      <w:r w:rsidR="0001386F">
        <w:rPr>
          <w:sz w:val="22"/>
        </w:rPr>
        <w:t>menti: tra quant</w:t>
      </w:r>
      <w:r w:rsidR="000A6752">
        <w:rPr>
          <w:sz w:val="22"/>
        </w:rPr>
        <w:t xml:space="preserve">i prevedono di investire, </w:t>
      </w:r>
      <w:r w:rsidR="0001386F">
        <w:rPr>
          <w:sz w:val="22"/>
        </w:rPr>
        <w:t xml:space="preserve">quasi </w:t>
      </w:r>
      <w:r w:rsidR="0063144F" w:rsidRPr="0063144F">
        <w:rPr>
          <w:b/>
          <w:bCs/>
          <w:sz w:val="22"/>
        </w:rPr>
        <w:t>o</w:t>
      </w:r>
      <w:r w:rsidR="00C724A3">
        <w:rPr>
          <w:b/>
          <w:bCs/>
          <w:sz w:val="22"/>
        </w:rPr>
        <w:t xml:space="preserve">tto imprenditori su dieci </w:t>
      </w:r>
      <w:r w:rsidR="0063144F" w:rsidRPr="0026295C">
        <w:rPr>
          <w:b/>
          <w:bCs/>
          <w:sz w:val="22"/>
        </w:rPr>
        <w:t>(</w:t>
      </w:r>
      <w:r w:rsidR="003619EB">
        <w:rPr>
          <w:b/>
          <w:bCs/>
          <w:sz w:val="22"/>
        </w:rPr>
        <w:t>78,4%</w:t>
      </w:r>
      <w:r w:rsidR="0063144F" w:rsidRPr="0026295C">
        <w:rPr>
          <w:b/>
          <w:bCs/>
          <w:sz w:val="22"/>
        </w:rPr>
        <w:t>)</w:t>
      </w:r>
      <w:r w:rsidR="00F77D13" w:rsidRPr="00F77D13">
        <w:rPr>
          <w:sz w:val="22"/>
        </w:rPr>
        <w:t xml:space="preserve"> lo faranno nella </w:t>
      </w:r>
      <w:r w:rsidR="0063144F" w:rsidRPr="00477531">
        <w:rPr>
          <w:b/>
          <w:bCs/>
          <w:sz w:val="22"/>
        </w:rPr>
        <w:t>formazione</w:t>
      </w:r>
      <w:r w:rsidR="009E6C83">
        <w:rPr>
          <w:b/>
          <w:bCs/>
          <w:sz w:val="22"/>
        </w:rPr>
        <w:t xml:space="preserve"> </w:t>
      </w:r>
      <w:r w:rsidR="00477531">
        <w:rPr>
          <w:sz w:val="22"/>
        </w:rPr>
        <w:t>p</w:t>
      </w:r>
      <w:r w:rsidR="003267D6">
        <w:rPr>
          <w:sz w:val="22"/>
        </w:rPr>
        <w:t>er aggiornare o sviluppare nuove competen</w:t>
      </w:r>
      <w:r w:rsidR="003A6B1B">
        <w:rPr>
          <w:sz w:val="22"/>
        </w:rPr>
        <w:t>ze in a</w:t>
      </w:r>
      <w:r w:rsidR="00A700BA">
        <w:rPr>
          <w:sz w:val="22"/>
        </w:rPr>
        <w:t xml:space="preserve">zienda; </w:t>
      </w:r>
      <w:r w:rsidR="0063144F">
        <w:rPr>
          <w:sz w:val="22"/>
        </w:rPr>
        <w:t xml:space="preserve">il </w:t>
      </w:r>
      <w:r w:rsidR="003619EB">
        <w:rPr>
          <w:sz w:val="22"/>
        </w:rPr>
        <w:t xml:space="preserve">67,1% </w:t>
      </w:r>
      <w:r w:rsidR="0063144F">
        <w:rPr>
          <w:sz w:val="22"/>
        </w:rPr>
        <w:t xml:space="preserve">effettuerà investimenti in </w:t>
      </w:r>
      <w:r w:rsidR="0063144F" w:rsidRPr="00477531">
        <w:rPr>
          <w:b/>
          <w:bCs/>
          <w:sz w:val="22"/>
        </w:rPr>
        <w:t>tecnologie e reti informatiche</w:t>
      </w:r>
      <w:r w:rsidR="0063144F">
        <w:rPr>
          <w:sz w:val="22"/>
        </w:rPr>
        <w:t xml:space="preserve">, il </w:t>
      </w:r>
      <w:r w:rsidR="003619EB">
        <w:rPr>
          <w:sz w:val="22"/>
        </w:rPr>
        <w:t xml:space="preserve">63,9% </w:t>
      </w:r>
      <w:r w:rsidR="00477531">
        <w:rPr>
          <w:sz w:val="22"/>
        </w:rPr>
        <w:t xml:space="preserve">nel </w:t>
      </w:r>
      <w:r w:rsidR="00477531" w:rsidRPr="00477531">
        <w:rPr>
          <w:b/>
          <w:bCs/>
          <w:sz w:val="22"/>
        </w:rPr>
        <w:t>welfare aziendale</w:t>
      </w:r>
      <w:r w:rsidR="00477531">
        <w:rPr>
          <w:sz w:val="22"/>
        </w:rPr>
        <w:t xml:space="preserve">, </w:t>
      </w:r>
      <w:r w:rsidR="0063144F">
        <w:rPr>
          <w:sz w:val="22"/>
        </w:rPr>
        <w:t xml:space="preserve">il </w:t>
      </w:r>
      <w:r w:rsidR="003619EB">
        <w:rPr>
          <w:sz w:val="22"/>
        </w:rPr>
        <w:t xml:space="preserve">61,0% </w:t>
      </w:r>
      <w:r w:rsidR="0063144F">
        <w:rPr>
          <w:sz w:val="22"/>
        </w:rPr>
        <w:t xml:space="preserve">in </w:t>
      </w:r>
      <w:r w:rsidR="0063144F" w:rsidRPr="00CD3163">
        <w:rPr>
          <w:b/>
          <w:bCs/>
          <w:sz w:val="22"/>
        </w:rPr>
        <w:t>impianti e macchinar</w:t>
      </w:r>
      <w:r w:rsidR="00477531" w:rsidRPr="00CD3163">
        <w:rPr>
          <w:b/>
          <w:bCs/>
          <w:sz w:val="22"/>
        </w:rPr>
        <w:t>i</w:t>
      </w:r>
      <w:r w:rsidR="0025097D">
        <w:rPr>
          <w:sz w:val="22"/>
        </w:rPr>
        <w:t>. Seguono, con quote superiori al 50%</w:t>
      </w:r>
      <w:r w:rsidR="0026295C">
        <w:rPr>
          <w:sz w:val="22"/>
        </w:rPr>
        <w:t xml:space="preserve"> (erano possibili risposte multiple), </w:t>
      </w:r>
      <w:r w:rsidR="0025097D">
        <w:rPr>
          <w:sz w:val="22"/>
        </w:rPr>
        <w:t xml:space="preserve">gli investimenti in </w:t>
      </w:r>
      <w:r w:rsidR="00477531" w:rsidRPr="00CD3163">
        <w:rPr>
          <w:b/>
          <w:bCs/>
          <w:sz w:val="22"/>
        </w:rPr>
        <w:t>digitalizzazione</w:t>
      </w:r>
      <w:r w:rsidR="003619EB">
        <w:rPr>
          <w:sz w:val="22"/>
        </w:rPr>
        <w:t xml:space="preserve"> (59,3%), </w:t>
      </w:r>
      <w:r w:rsidR="00477531" w:rsidRPr="00CD3163">
        <w:rPr>
          <w:b/>
          <w:bCs/>
          <w:sz w:val="22"/>
        </w:rPr>
        <w:t>capitale uman</w:t>
      </w:r>
      <w:r w:rsidR="00A700BA">
        <w:rPr>
          <w:b/>
          <w:bCs/>
          <w:sz w:val="22"/>
        </w:rPr>
        <w:t>o</w:t>
      </w:r>
      <w:r w:rsidR="003619EB" w:rsidRPr="003619EB">
        <w:rPr>
          <w:sz w:val="22"/>
        </w:rPr>
        <w:t xml:space="preserve"> (58,9%), </w:t>
      </w:r>
      <w:r w:rsidR="003619EB">
        <w:rPr>
          <w:b/>
          <w:bCs/>
          <w:sz w:val="22"/>
        </w:rPr>
        <w:t>tutela ambientale</w:t>
      </w:r>
      <w:r w:rsidR="003619EB" w:rsidRPr="003619EB">
        <w:rPr>
          <w:sz w:val="22"/>
        </w:rPr>
        <w:t xml:space="preserve"> (51,5%).</w:t>
      </w:r>
    </w:p>
    <w:p w14:paraId="48AE78C9" w14:textId="77777777" w:rsidR="00874211" w:rsidRDefault="00874211" w:rsidP="00200CFD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6CD90369" w14:textId="54EDF26E" w:rsidR="00512809" w:rsidRDefault="00512809" w:rsidP="00200CFD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I tassi ancora a</w:t>
      </w:r>
      <w:r w:rsidR="008B23C9">
        <w:rPr>
          <w:sz w:val="22"/>
          <w:szCs w:val="22"/>
        </w:rPr>
        <w:t xml:space="preserve">lti </w:t>
      </w:r>
      <w:r w:rsidR="00961166">
        <w:rPr>
          <w:sz w:val="22"/>
          <w:szCs w:val="22"/>
        </w:rPr>
        <w:t>(</w:t>
      </w:r>
      <w:r w:rsidR="00B07DEB">
        <w:rPr>
          <w:sz w:val="22"/>
          <w:szCs w:val="22"/>
        </w:rPr>
        <w:t>d</w:t>
      </w:r>
      <w:r w:rsidR="006068E3">
        <w:rPr>
          <w:sz w:val="22"/>
          <w:szCs w:val="22"/>
        </w:rPr>
        <w:t>opo la limatur</w:t>
      </w:r>
      <w:r w:rsidR="001838F3">
        <w:rPr>
          <w:sz w:val="22"/>
          <w:szCs w:val="22"/>
        </w:rPr>
        <w:t xml:space="preserve">a BCE </w:t>
      </w:r>
      <w:r w:rsidR="006068E3">
        <w:rPr>
          <w:sz w:val="22"/>
          <w:szCs w:val="22"/>
        </w:rPr>
        <w:t>dello 0,25%</w:t>
      </w:r>
      <w:r>
        <w:rPr>
          <w:sz w:val="22"/>
          <w:szCs w:val="22"/>
        </w:rPr>
        <w:t>)</w:t>
      </w:r>
      <w:r w:rsidR="00174000">
        <w:rPr>
          <w:sz w:val="22"/>
          <w:szCs w:val="22"/>
        </w:rPr>
        <w:t xml:space="preserve"> e le condizioni di finanziamento restrittive, </w:t>
      </w:r>
      <w:r>
        <w:rPr>
          <w:sz w:val="22"/>
          <w:szCs w:val="22"/>
        </w:rPr>
        <w:t>inducono le impres</w:t>
      </w:r>
      <w:r w:rsidR="002F53A7">
        <w:rPr>
          <w:sz w:val="22"/>
          <w:szCs w:val="22"/>
        </w:rPr>
        <w:t>e a ridurre la domanda di credito bancari</w:t>
      </w:r>
      <w:r w:rsidR="00174000">
        <w:rPr>
          <w:sz w:val="22"/>
          <w:szCs w:val="22"/>
        </w:rPr>
        <w:t xml:space="preserve">o per gli investimenti. </w:t>
      </w:r>
      <w:r>
        <w:rPr>
          <w:sz w:val="22"/>
          <w:szCs w:val="22"/>
        </w:rPr>
        <w:t xml:space="preserve">La </w:t>
      </w:r>
      <w:r w:rsidRPr="00512809">
        <w:rPr>
          <w:b/>
          <w:bCs/>
          <w:sz w:val="22"/>
          <w:szCs w:val="22"/>
        </w:rPr>
        <w:t>quota maggioritaria (</w:t>
      </w:r>
      <w:r w:rsidR="003619EB">
        <w:rPr>
          <w:b/>
          <w:bCs/>
          <w:sz w:val="22"/>
          <w:szCs w:val="22"/>
        </w:rPr>
        <w:t>55,7%</w:t>
      </w:r>
      <w:r w:rsidRPr="00512809">
        <w:rPr>
          <w:b/>
          <w:bCs/>
          <w:sz w:val="22"/>
          <w:szCs w:val="22"/>
        </w:rPr>
        <w:t>)</w:t>
      </w:r>
      <w:r w:rsidR="009B40EE">
        <w:rPr>
          <w:sz w:val="22"/>
          <w:szCs w:val="22"/>
        </w:rPr>
        <w:t xml:space="preserve">, concentrata nelle imprese medio-grandi, </w:t>
      </w:r>
      <w:r w:rsidR="00B259A6">
        <w:rPr>
          <w:sz w:val="22"/>
          <w:szCs w:val="22"/>
        </w:rPr>
        <w:t>ha fatto maggior</w:t>
      </w:r>
      <w:r w:rsidR="00BC52A7">
        <w:rPr>
          <w:sz w:val="22"/>
          <w:szCs w:val="22"/>
        </w:rPr>
        <w:t xml:space="preserve"> </w:t>
      </w:r>
      <w:r w:rsidR="00B259A6">
        <w:rPr>
          <w:sz w:val="22"/>
          <w:szCs w:val="22"/>
        </w:rPr>
        <w:t>r</w:t>
      </w:r>
      <w:r w:rsidR="001874CE">
        <w:rPr>
          <w:sz w:val="22"/>
          <w:szCs w:val="22"/>
        </w:rPr>
        <w:t xml:space="preserve">icorso </w:t>
      </w:r>
      <w:r w:rsidR="00B259A6">
        <w:rPr>
          <w:sz w:val="22"/>
          <w:szCs w:val="22"/>
        </w:rPr>
        <w:t>all’</w:t>
      </w:r>
      <w:r w:rsidR="007C4554" w:rsidRPr="007C4554">
        <w:rPr>
          <w:b/>
          <w:bCs/>
          <w:sz w:val="22"/>
          <w:szCs w:val="22"/>
        </w:rPr>
        <w:t>autofinanziamento</w:t>
      </w:r>
      <w:r w:rsidR="007C4554">
        <w:rPr>
          <w:sz w:val="22"/>
          <w:szCs w:val="22"/>
        </w:rPr>
        <w:t xml:space="preserve">, compensando la minore leva con le scorte di liquidità, per non richiedere nuovi finanziamenti a costi più elevati. Il </w:t>
      </w:r>
      <w:r w:rsidR="003619EB">
        <w:rPr>
          <w:sz w:val="22"/>
          <w:szCs w:val="22"/>
        </w:rPr>
        <w:t xml:space="preserve">12,7% </w:t>
      </w:r>
      <w:r w:rsidR="007C4554">
        <w:rPr>
          <w:sz w:val="22"/>
          <w:szCs w:val="22"/>
        </w:rPr>
        <w:t>ha richiest</w:t>
      </w:r>
      <w:r w:rsidR="00CD165D">
        <w:rPr>
          <w:sz w:val="22"/>
          <w:szCs w:val="22"/>
        </w:rPr>
        <w:t xml:space="preserve">o </w:t>
      </w:r>
      <w:r w:rsidR="007C4554">
        <w:rPr>
          <w:sz w:val="22"/>
          <w:szCs w:val="22"/>
        </w:rPr>
        <w:t xml:space="preserve">finanziamenti bancari a medio-lungo termine; il </w:t>
      </w:r>
      <w:r w:rsidR="003619EB">
        <w:rPr>
          <w:sz w:val="22"/>
          <w:szCs w:val="22"/>
        </w:rPr>
        <w:t xml:space="preserve">6,3% </w:t>
      </w:r>
      <w:r w:rsidR="007C4554">
        <w:rPr>
          <w:sz w:val="22"/>
          <w:szCs w:val="22"/>
        </w:rPr>
        <w:t xml:space="preserve">a breve (il </w:t>
      </w:r>
      <w:r w:rsidR="003619EB">
        <w:rPr>
          <w:sz w:val="22"/>
          <w:szCs w:val="22"/>
        </w:rPr>
        <w:t xml:space="preserve">4,1% </w:t>
      </w:r>
      <w:r w:rsidR="007C4554">
        <w:rPr>
          <w:sz w:val="22"/>
          <w:szCs w:val="22"/>
        </w:rPr>
        <w:t xml:space="preserve">leasing; appena il </w:t>
      </w:r>
      <w:r w:rsidR="003619EB">
        <w:rPr>
          <w:sz w:val="22"/>
          <w:szCs w:val="22"/>
        </w:rPr>
        <w:t xml:space="preserve">2,6% </w:t>
      </w:r>
      <w:r w:rsidR="007C4554">
        <w:rPr>
          <w:sz w:val="22"/>
          <w:szCs w:val="22"/>
        </w:rPr>
        <w:t>incentivi pubblici).</w:t>
      </w:r>
    </w:p>
    <w:p w14:paraId="66BADF4E" w14:textId="100DCDC6" w:rsidR="00200CFD" w:rsidRDefault="005F1791" w:rsidP="00200CFD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mantiene, inoltre, vivace la domanda di lavoro delle imprese. </w:t>
      </w:r>
      <w:r w:rsidR="00A807D2">
        <w:rPr>
          <w:sz w:val="22"/>
          <w:szCs w:val="22"/>
        </w:rPr>
        <w:t xml:space="preserve">Al netto delle sostituzioni per pensionamento, </w:t>
      </w:r>
      <w:r w:rsidR="00200CFD">
        <w:rPr>
          <w:sz w:val="22"/>
          <w:szCs w:val="22"/>
        </w:rPr>
        <w:t xml:space="preserve">il </w:t>
      </w:r>
      <w:r w:rsidR="003619EB" w:rsidRPr="003619EB">
        <w:rPr>
          <w:b/>
          <w:bCs/>
          <w:sz w:val="22"/>
          <w:szCs w:val="22"/>
        </w:rPr>
        <w:t>54,2%</w:t>
      </w:r>
      <w:r w:rsidR="003619EB">
        <w:rPr>
          <w:sz w:val="22"/>
          <w:szCs w:val="22"/>
        </w:rPr>
        <w:t xml:space="preserve"> </w:t>
      </w:r>
      <w:r w:rsidR="00A807D2" w:rsidRPr="00A807D2">
        <w:rPr>
          <w:sz w:val="22"/>
          <w:szCs w:val="22"/>
        </w:rPr>
        <w:t xml:space="preserve">prevede di fare </w:t>
      </w:r>
      <w:r w:rsidR="00200CFD" w:rsidRPr="001724FF">
        <w:rPr>
          <w:b/>
          <w:bCs/>
          <w:sz w:val="22"/>
          <w:szCs w:val="22"/>
        </w:rPr>
        <w:t>nuove assunzioni</w:t>
      </w:r>
      <w:r w:rsidR="00200CFD">
        <w:rPr>
          <w:sz w:val="22"/>
          <w:szCs w:val="22"/>
        </w:rPr>
        <w:t xml:space="preserve"> nel corso del 2</w:t>
      </w:r>
      <w:r w:rsidR="00402A02">
        <w:rPr>
          <w:sz w:val="22"/>
          <w:szCs w:val="22"/>
        </w:rPr>
        <w:t>024 (</w:t>
      </w:r>
      <w:r w:rsidR="002C1ABD">
        <w:rPr>
          <w:sz w:val="22"/>
          <w:szCs w:val="22"/>
        </w:rPr>
        <w:t>71,1% tra le grandi</w:t>
      </w:r>
      <w:r w:rsidR="001874CE">
        <w:rPr>
          <w:sz w:val="22"/>
          <w:szCs w:val="22"/>
        </w:rPr>
        <w:t xml:space="preserve">), </w:t>
      </w:r>
      <w:r w:rsidR="00F92E4B">
        <w:rPr>
          <w:sz w:val="22"/>
          <w:szCs w:val="22"/>
        </w:rPr>
        <w:t>p</w:t>
      </w:r>
      <w:r w:rsidR="00CB73F6">
        <w:rPr>
          <w:sz w:val="22"/>
          <w:szCs w:val="22"/>
        </w:rPr>
        <w:t xml:space="preserve">er dotare l’impresa delle </w:t>
      </w:r>
      <w:r w:rsidR="00C00B4D">
        <w:rPr>
          <w:sz w:val="22"/>
          <w:szCs w:val="22"/>
        </w:rPr>
        <w:t>competenze necessari</w:t>
      </w:r>
      <w:r w:rsidR="00A807D2">
        <w:rPr>
          <w:sz w:val="22"/>
          <w:szCs w:val="22"/>
        </w:rPr>
        <w:t xml:space="preserve">e per un rinnovamento complessivo </w:t>
      </w:r>
      <w:r w:rsidR="00F92E4B">
        <w:rPr>
          <w:sz w:val="22"/>
          <w:szCs w:val="22"/>
        </w:rPr>
        <w:t>(</w:t>
      </w:r>
      <w:r w:rsidR="003619EB">
        <w:rPr>
          <w:sz w:val="22"/>
          <w:szCs w:val="22"/>
        </w:rPr>
        <w:t>26,4%</w:t>
      </w:r>
      <w:r w:rsidR="00F92E4B">
        <w:rPr>
          <w:sz w:val="22"/>
          <w:szCs w:val="22"/>
        </w:rPr>
        <w:t>), per sostenere la crescita della domanda (</w:t>
      </w:r>
      <w:r w:rsidR="003619EB">
        <w:rPr>
          <w:sz w:val="22"/>
          <w:szCs w:val="22"/>
        </w:rPr>
        <w:t>24,1%</w:t>
      </w:r>
      <w:r w:rsidR="00F92E4B">
        <w:rPr>
          <w:sz w:val="22"/>
          <w:szCs w:val="22"/>
        </w:rPr>
        <w:t>),</w:t>
      </w:r>
      <w:r w:rsidR="00C524B1">
        <w:rPr>
          <w:sz w:val="22"/>
          <w:szCs w:val="22"/>
        </w:rPr>
        <w:t xml:space="preserve"> </w:t>
      </w:r>
      <w:r w:rsidR="00F92E4B">
        <w:rPr>
          <w:sz w:val="22"/>
          <w:szCs w:val="22"/>
        </w:rPr>
        <w:t>supportare cambiamenti tecnologici, organizzativi (</w:t>
      </w:r>
      <w:r w:rsidR="003619EB">
        <w:rPr>
          <w:sz w:val="22"/>
          <w:szCs w:val="22"/>
        </w:rPr>
        <w:t>21,9%</w:t>
      </w:r>
      <w:r w:rsidR="00F92E4B">
        <w:rPr>
          <w:sz w:val="22"/>
          <w:szCs w:val="22"/>
        </w:rPr>
        <w:t>)</w:t>
      </w:r>
      <w:r w:rsidR="00C00B4D">
        <w:rPr>
          <w:sz w:val="22"/>
          <w:szCs w:val="22"/>
        </w:rPr>
        <w:t xml:space="preserve"> o l’espansione in nuovi mercati (</w:t>
      </w:r>
      <w:r w:rsidR="003619EB">
        <w:rPr>
          <w:sz w:val="22"/>
          <w:szCs w:val="22"/>
        </w:rPr>
        <w:t>12,8%</w:t>
      </w:r>
      <w:r w:rsidR="00C00B4D">
        <w:rPr>
          <w:sz w:val="22"/>
          <w:szCs w:val="22"/>
        </w:rPr>
        <w:t>).</w:t>
      </w:r>
    </w:p>
    <w:p w14:paraId="3E693422" w14:textId="77777777" w:rsidR="00026B07" w:rsidRDefault="00026B07" w:rsidP="00130B5B">
      <w:pPr>
        <w:tabs>
          <w:tab w:val="left" w:pos="9639"/>
        </w:tabs>
        <w:ind w:right="-1"/>
        <w:jc w:val="both"/>
        <w:rPr>
          <w:sz w:val="22"/>
        </w:rPr>
      </w:pPr>
    </w:p>
    <w:p w14:paraId="0816C5E0" w14:textId="0AE7C2DA" w:rsidR="00026B07" w:rsidRDefault="00A807D2" w:rsidP="00130B5B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Sono queste le principali eviden</w:t>
      </w:r>
      <w:r w:rsidR="00156282">
        <w:rPr>
          <w:sz w:val="22"/>
        </w:rPr>
        <w:t xml:space="preserve">ze </w:t>
      </w:r>
      <w:r w:rsidR="003E2E51">
        <w:rPr>
          <w:sz w:val="22"/>
        </w:rPr>
        <w:t xml:space="preserve">dell’indagine congiunturale e del </w:t>
      </w:r>
      <w:r w:rsidRPr="00FA4F32">
        <w:rPr>
          <w:b/>
          <w:bCs/>
          <w:sz w:val="22"/>
        </w:rPr>
        <w:t>F</w:t>
      </w:r>
      <w:r w:rsidR="00FE4C2B">
        <w:rPr>
          <w:b/>
          <w:bCs/>
          <w:sz w:val="22"/>
        </w:rPr>
        <w:t>ocus “Le imprese tra investimenti e capitale umano. Le opinioni degli imprenditor</w:t>
      </w:r>
      <w:r w:rsidR="006131DF">
        <w:rPr>
          <w:b/>
          <w:bCs/>
          <w:sz w:val="22"/>
        </w:rPr>
        <w:t>i di Confindustria Veneto Est</w:t>
      </w:r>
      <w:r w:rsidR="00FE4C2B">
        <w:rPr>
          <w:b/>
          <w:bCs/>
          <w:sz w:val="22"/>
        </w:rPr>
        <w:t>”</w:t>
      </w:r>
      <w:r w:rsidR="00A562BB" w:rsidRPr="00A562BB">
        <w:rPr>
          <w:sz w:val="22"/>
        </w:rPr>
        <w:t xml:space="preserve"> realizzato dall’Associazione, </w:t>
      </w:r>
      <w:r w:rsidRPr="00A562BB">
        <w:rPr>
          <w:sz w:val="22"/>
        </w:rPr>
        <w:t>in c</w:t>
      </w:r>
      <w:r>
        <w:rPr>
          <w:sz w:val="22"/>
        </w:rPr>
        <w:t>ollaborazione con Fondazione Nord Est, tra april</w:t>
      </w:r>
      <w:r w:rsidR="00B141F0">
        <w:rPr>
          <w:sz w:val="22"/>
        </w:rPr>
        <w:t xml:space="preserve">e e </w:t>
      </w:r>
      <w:r>
        <w:rPr>
          <w:sz w:val="22"/>
        </w:rPr>
        <w:t>m</w:t>
      </w:r>
      <w:r w:rsidR="008C7918">
        <w:rPr>
          <w:sz w:val="22"/>
        </w:rPr>
        <w:t xml:space="preserve">aggio 2024 </w:t>
      </w:r>
      <w:r>
        <w:rPr>
          <w:sz w:val="22"/>
        </w:rPr>
        <w:t>su un campione di 806 imprese manifatturiere e dei servizi delle province di Padova, Treviso, Venezia e Rovig</w:t>
      </w:r>
      <w:r w:rsidR="004060C6">
        <w:rPr>
          <w:sz w:val="22"/>
        </w:rPr>
        <w:t>o, che ne rileva le intenzioni di investimento e assunzione nell’a</w:t>
      </w:r>
      <w:r w:rsidR="00026B07">
        <w:rPr>
          <w:sz w:val="22"/>
        </w:rPr>
        <w:t>nno in corso.</w:t>
      </w:r>
    </w:p>
    <w:p w14:paraId="3C94EDD6" w14:textId="77777777" w:rsidR="00026B07" w:rsidRPr="00026B07" w:rsidRDefault="00026B07" w:rsidP="00130B5B">
      <w:pPr>
        <w:tabs>
          <w:tab w:val="left" w:pos="9639"/>
        </w:tabs>
        <w:ind w:right="-1"/>
        <w:jc w:val="both"/>
        <w:rPr>
          <w:bCs/>
          <w:sz w:val="22"/>
        </w:rPr>
      </w:pPr>
    </w:p>
    <w:p w14:paraId="180A3F19" w14:textId="1064B10D" w:rsidR="0052148F" w:rsidRDefault="00130B5B" w:rsidP="00130B5B">
      <w:pPr>
        <w:tabs>
          <w:tab w:val="left" w:pos="9639"/>
        </w:tabs>
        <w:ind w:right="-1"/>
        <w:jc w:val="both"/>
        <w:rPr>
          <w:bCs/>
          <w:i/>
          <w:iCs/>
          <w:sz w:val="22"/>
        </w:rPr>
      </w:pPr>
      <w:r w:rsidRPr="00130B5B">
        <w:rPr>
          <w:bCs/>
          <w:i/>
          <w:iCs/>
          <w:sz w:val="22"/>
        </w:rPr>
        <w:t>«</w:t>
      </w:r>
      <w:r w:rsidR="008C408F">
        <w:rPr>
          <w:bCs/>
          <w:i/>
          <w:iCs/>
          <w:sz w:val="22"/>
        </w:rPr>
        <w:t xml:space="preserve">Nonostante uno scenario incerto e turbolento </w:t>
      </w:r>
      <w:r w:rsidR="00301AC1" w:rsidRPr="00301AC1">
        <w:rPr>
          <w:bCs/>
          <w:sz w:val="22"/>
        </w:rPr>
        <w:t xml:space="preserve">- </w:t>
      </w:r>
      <w:r w:rsidR="008C408F" w:rsidRPr="008C408F">
        <w:rPr>
          <w:bCs/>
          <w:sz w:val="22"/>
        </w:rPr>
        <w:t xml:space="preserve">commenta </w:t>
      </w:r>
      <w:r w:rsidR="008C408F" w:rsidRPr="008C408F">
        <w:rPr>
          <w:b/>
          <w:bCs/>
          <w:sz w:val="22"/>
        </w:rPr>
        <w:t>Federico Zoppas, Consigliere Delegat</w:t>
      </w:r>
      <w:r w:rsidR="008C408F">
        <w:rPr>
          <w:b/>
          <w:bCs/>
          <w:sz w:val="22"/>
        </w:rPr>
        <w:t xml:space="preserve">o di Confindustria Veneto Est per l’Ufficio Studi </w:t>
      </w:r>
      <w:r w:rsidR="008C408F" w:rsidRPr="008C408F">
        <w:rPr>
          <w:bCs/>
          <w:sz w:val="22"/>
        </w:rPr>
        <w:t>-</w:t>
      </w:r>
      <w:r w:rsidR="006354B4" w:rsidRPr="006354B4">
        <w:rPr>
          <w:bCs/>
          <w:i/>
          <w:iCs/>
          <w:sz w:val="22"/>
        </w:rPr>
        <w:t>,</w:t>
      </w:r>
      <w:r w:rsidR="006354B4">
        <w:rPr>
          <w:bCs/>
          <w:i/>
          <w:iCs/>
          <w:sz w:val="22"/>
        </w:rPr>
        <w:t xml:space="preserve"> </w:t>
      </w:r>
      <w:r w:rsidR="006354B4" w:rsidRPr="006354B4">
        <w:rPr>
          <w:bCs/>
          <w:i/>
          <w:iCs/>
          <w:sz w:val="22"/>
        </w:rPr>
        <w:t>caratterizzato d</w:t>
      </w:r>
      <w:r w:rsidR="006354B4">
        <w:rPr>
          <w:bCs/>
          <w:i/>
          <w:iCs/>
          <w:sz w:val="22"/>
        </w:rPr>
        <w:t>a instabilità geopolitic</w:t>
      </w:r>
      <w:r w:rsidR="000B76B3">
        <w:rPr>
          <w:bCs/>
          <w:i/>
          <w:iCs/>
          <w:sz w:val="22"/>
        </w:rPr>
        <w:t xml:space="preserve">a e frenata di mercati cruciali come la Germania, </w:t>
      </w:r>
      <w:r w:rsidR="006354B4" w:rsidRPr="006354B4">
        <w:rPr>
          <w:bCs/>
          <w:i/>
          <w:iCs/>
          <w:sz w:val="22"/>
        </w:rPr>
        <w:t>energi</w:t>
      </w:r>
      <w:r w:rsidR="00CF3028">
        <w:rPr>
          <w:bCs/>
          <w:i/>
          <w:iCs/>
          <w:sz w:val="22"/>
        </w:rPr>
        <w:t xml:space="preserve">a, materie prime e trasporti soprattutto via mare ancora cari, </w:t>
      </w:r>
      <w:r w:rsidR="006354B4" w:rsidRPr="006354B4">
        <w:rPr>
          <w:bCs/>
          <w:i/>
          <w:iCs/>
          <w:sz w:val="22"/>
        </w:rPr>
        <w:t>t</w:t>
      </w:r>
      <w:r w:rsidR="00EB4BDA">
        <w:rPr>
          <w:bCs/>
          <w:i/>
          <w:iCs/>
          <w:sz w:val="22"/>
        </w:rPr>
        <w:t>assi elevat</w:t>
      </w:r>
      <w:r w:rsidR="0047728D">
        <w:rPr>
          <w:bCs/>
          <w:i/>
          <w:iCs/>
          <w:sz w:val="22"/>
        </w:rPr>
        <w:t xml:space="preserve">i, </w:t>
      </w:r>
      <w:r w:rsidR="006354B4">
        <w:rPr>
          <w:bCs/>
          <w:i/>
          <w:iCs/>
          <w:sz w:val="22"/>
        </w:rPr>
        <w:lastRenderedPageBreak/>
        <w:t>gli imprenditori continuano ad investire o</w:t>
      </w:r>
      <w:r w:rsidR="001177B0">
        <w:rPr>
          <w:bCs/>
          <w:i/>
          <w:iCs/>
          <w:sz w:val="22"/>
        </w:rPr>
        <w:t xml:space="preserve">ggi, sia pure con maggior cautela, </w:t>
      </w:r>
      <w:r w:rsidR="006354B4">
        <w:rPr>
          <w:bCs/>
          <w:i/>
          <w:iCs/>
          <w:sz w:val="22"/>
        </w:rPr>
        <w:t>per affrontare un riposizionamento tecnologico, digital</w:t>
      </w:r>
      <w:r w:rsidR="0052148F">
        <w:rPr>
          <w:bCs/>
          <w:i/>
          <w:iCs/>
          <w:sz w:val="22"/>
        </w:rPr>
        <w:t>e e geografico e ritagliarsi un importante vantaggio competitivo nel prossimo futuro.</w:t>
      </w:r>
      <w:r w:rsidR="008C408F">
        <w:rPr>
          <w:bCs/>
          <w:i/>
          <w:iCs/>
          <w:sz w:val="22"/>
        </w:rPr>
        <w:t xml:space="preserve"> </w:t>
      </w:r>
      <w:r w:rsidR="002B7816">
        <w:rPr>
          <w:bCs/>
          <w:i/>
          <w:iCs/>
          <w:sz w:val="22"/>
        </w:rPr>
        <w:t>A</w:t>
      </w:r>
      <w:r w:rsidR="008C408F">
        <w:rPr>
          <w:bCs/>
          <w:i/>
          <w:iCs/>
          <w:sz w:val="22"/>
        </w:rPr>
        <w:t>ffinch</w:t>
      </w:r>
      <w:r w:rsidR="00B37AF9">
        <w:rPr>
          <w:bCs/>
          <w:i/>
          <w:iCs/>
          <w:sz w:val="22"/>
        </w:rPr>
        <w:t>é questo accada, vanno rimossi i fattori di incertezza, proseguito in m</w:t>
      </w:r>
      <w:r w:rsidR="00CF3028">
        <w:rPr>
          <w:bCs/>
          <w:i/>
          <w:iCs/>
          <w:sz w:val="22"/>
        </w:rPr>
        <w:t xml:space="preserve">odo più incisivo il taglio dei tassi della BCE, </w:t>
      </w:r>
      <w:r w:rsidR="00B37AF9">
        <w:rPr>
          <w:bCs/>
          <w:i/>
          <w:iCs/>
          <w:sz w:val="22"/>
        </w:rPr>
        <w:t xml:space="preserve">sostenute con grande attenzione soprattutto le piccole imprese, </w:t>
      </w:r>
      <w:r w:rsidR="005F4D63">
        <w:rPr>
          <w:bCs/>
          <w:i/>
          <w:iCs/>
          <w:sz w:val="22"/>
        </w:rPr>
        <w:t>che hanno possibilità di investimento strutturalmente più basse delle medio-grandi a causa di una minore capacità finanziaria e maggiore difficolt</w:t>
      </w:r>
      <w:r w:rsidR="00210AC5">
        <w:rPr>
          <w:bCs/>
          <w:i/>
          <w:iCs/>
          <w:sz w:val="22"/>
        </w:rPr>
        <w:t>à a reperire risorse umane qualificat</w:t>
      </w:r>
      <w:r w:rsidR="00B37AF9">
        <w:rPr>
          <w:bCs/>
          <w:i/>
          <w:iCs/>
          <w:sz w:val="22"/>
        </w:rPr>
        <w:t>e».</w:t>
      </w:r>
    </w:p>
    <w:p w14:paraId="55A9BD2F" w14:textId="77777777" w:rsidR="0052148F" w:rsidRPr="006B0B8E" w:rsidRDefault="0052148F" w:rsidP="00130B5B">
      <w:pPr>
        <w:tabs>
          <w:tab w:val="left" w:pos="9639"/>
        </w:tabs>
        <w:ind w:right="-1"/>
        <w:jc w:val="both"/>
        <w:rPr>
          <w:bCs/>
          <w:sz w:val="22"/>
        </w:rPr>
      </w:pPr>
    </w:p>
    <w:p w14:paraId="6BB91B1A" w14:textId="0F696F62" w:rsidR="00424A55" w:rsidRDefault="009133FE" w:rsidP="0028455E">
      <w:pPr>
        <w:tabs>
          <w:tab w:val="left" w:pos="9639"/>
        </w:tabs>
        <w:ind w:right="-1"/>
        <w:jc w:val="both"/>
        <w:rPr>
          <w:bCs/>
          <w:sz w:val="22"/>
        </w:rPr>
      </w:pPr>
      <w:r>
        <w:rPr>
          <w:bCs/>
          <w:i/>
          <w:iCs/>
          <w:sz w:val="22"/>
        </w:rPr>
        <w:t>«Servono scelte di politica industriale coraggios</w:t>
      </w:r>
      <w:r w:rsidR="009B68E6">
        <w:rPr>
          <w:bCs/>
          <w:i/>
          <w:iCs/>
          <w:sz w:val="22"/>
        </w:rPr>
        <w:t xml:space="preserve">e </w:t>
      </w:r>
      <w:r>
        <w:rPr>
          <w:bCs/>
          <w:i/>
          <w:iCs/>
          <w:sz w:val="22"/>
        </w:rPr>
        <w:t xml:space="preserve">- </w:t>
      </w:r>
      <w:r w:rsidRPr="008C408F">
        <w:rPr>
          <w:bCs/>
          <w:sz w:val="22"/>
        </w:rPr>
        <w:t xml:space="preserve">dichiara </w:t>
      </w:r>
      <w:r w:rsidRPr="008C408F">
        <w:rPr>
          <w:b/>
          <w:bCs/>
          <w:sz w:val="22"/>
        </w:rPr>
        <w:t>Alberto Zanatta, Vicepresidente Vicario di Confindustria</w:t>
      </w:r>
      <w:r w:rsidRPr="009133FE">
        <w:rPr>
          <w:b/>
          <w:bCs/>
          <w:sz w:val="22"/>
        </w:rPr>
        <w:t xml:space="preserve"> Veneto Est</w:t>
      </w:r>
      <w:r w:rsidRPr="009133FE">
        <w:rPr>
          <w:sz w:val="22"/>
        </w:rPr>
        <w:t xml:space="preserve"> -</w:t>
      </w:r>
      <w:r w:rsidRPr="009133FE">
        <w:rPr>
          <w:i/>
          <w:iCs/>
          <w:sz w:val="22"/>
        </w:rPr>
        <w:t xml:space="preserve">. </w:t>
      </w:r>
      <w:r w:rsidR="006354B4" w:rsidRPr="009133FE">
        <w:rPr>
          <w:i/>
          <w:iCs/>
          <w:sz w:val="22"/>
        </w:rPr>
        <w:t xml:space="preserve">Quindi, </w:t>
      </w:r>
      <w:r w:rsidR="006354B4" w:rsidRPr="009133FE">
        <w:rPr>
          <w:bCs/>
          <w:i/>
          <w:iCs/>
          <w:sz w:val="22"/>
        </w:rPr>
        <w:t>ch</w:t>
      </w:r>
      <w:r w:rsidR="006354B4">
        <w:rPr>
          <w:bCs/>
          <w:i/>
          <w:iCs/>
          <w:sz w:val="22"/>
        </w:rPr>
        <w:t>iediamo al Govern</w:t>
      </w:r>
      <w:r w:rsidR="005F4D63">
        <w:rPr>
          <w:bCs/>
          <w:i/>
          <w:iCs/>
          <w:sz w:val="22"/>
        </w:rPr>
        <w:t>o di emanare subito il decreto attuativo del credito di imposta Transizione 5.0</w:t>
      </w:r>
      <w:r>
        <w:rPr>
          <w:bCs/>
          <w:i/>
          <w:iCs/>
          <w:sz w:val="22"/>
        </w:rPr>
        <w:t xml:space="preserve">, annunciato da molti mesi, </w:t>
      </w:r>
      <w:r w:rsidR="005F4D63">
        <w:rPr>
          <w:bCs/>
          <w:i/>
          <w:iCs/>
          <w:sz w:val="22"/>
        </w:rPr>
        <w:t>p</w:t>
      </w:r>
      <w:r w:rsidR="006711A6">
        <w:rPr>
          <w:bCs/>
          <w:i/>
          <w:iCs/>
          <w:sz w:val="22"/>
        </w:rPr>
        <w:t>er</w:t>
      </w:r>
      <w:r w:rsidR="00210AC5">
        <w:rPr>
          <w:bCs/>
          <w:i/>
          <w:iCs/>
          <w:sz w:val="22"/>
        </w:rPr>
        <w:t>ch</w:t>
      </w:r>
      <w:r>
        <w:rPr>
          <w:bCs/>
          <w:i/>
          <w:iCs/>
          <w:sz w:val="22"/>
        </w:rPr>
        <w:t>é sia u</w:t>
      </w:r>
      <w:r w:rsidR="00156282">
        <w:rPr>
          <w:bCs/>
          <w:i/>
          <w:iCs/>
          <w:sz w:val="22"/>
        </w:rPr>
        <w:t xml:space="preserve">tilizzabile già da metà luglio, </w:t>
      </w:r>
      <w:r w:rsidR="005F4D63">
        <w:rPr>
          <w:bCs/>
          <w:i/>
          <w:iCs/>
          <w:sz w:val="22"/>
        </w:rPr>
        <w:t>visto l’</w:t>
      </w:r>
      <w:r w:rsidR="00B141F0">
        <w:rPr>
          <w:bCs/>
          <w:i/>
          <w:iCs/>
          <w:sz w:val="22"/>
        </w:rPr>
        <w:t xml:space="preserve">attuale </w:t>
      </w:r>
      <w:r w:rsidR="005F4D63">
        <w:rPr>
          <w:bCs/>
          <w:i/>
          <w:iCs/>
          <w:sz w:val="22"/>
        </w:rPr>
        <w:t>orizzonte temporal</w:t>
      </w:r>
      <w:r w:rsidR="006711A6">
        <w:rPr>
          <w:bCs/>
          <w:i/>
          <w:iCs/>
          <w:sz w:val="22"/>
        </w:rPr>
        <w:t xml:space="preserve">e limitato al 31 dicembre 2025 per poterne usufruire, </w:t>
      </w:r>
      <w:r w:rsidR="006354B4">
        <w:rPr>
          <w:bCs/>
          <w:i/>
          <w:iCs/>
          <w:sz w:val="22"/>
        </w:rPr>
        <w:t>con regole di ingaggio chiare e facilmente accessibil</w:t>
      </w:r>
      <w:r w:rsidR="006711A6">
        <w:rPr>
          <w:bCs/>
          <w:i/>
          <w:iCs/>
          <w:sz w:val="22"/>
        </w:rPr>
        <w:t>i, così da sprigionare i 6,3 miliardi del P</w:t>
      </w:r>
      <w:r w:rsidR="009B68E6">
        <w:rPr>
          <w:bCs/>
          <w:i/>
          <w:iCs/>
          <w:sz w:val="22"/>
        </w:rPr>
        <w:t xml:space="preserve">NRR </w:t>
      </w:r>
      <w:r w:rsidR="006711A6">
        <w:rPr>
          <w:bCs/>
          <w:i/>
          <w:iCs/>
          <w:sz w:val="22"/>
        </w:rPr>
        <w:t>nei tempi previsti e permettere alle aziende di finalizzare i necessari investimenti in tecnologia e competenze per la digitalizzazione e il risparmio energetic</w:t>
      </w:r>
      <w:r w:rsidR="001177B0">
        <w:rPr>
          <w:bCs/>
          <w:i/>
          <w:iCs/>
          <w:sz w:val="22"/>
        </w:rPr>
        <w:t>o. Da qui e da misure strutturali, c</w:t>
      </w:r>
      <w:r w:rsidR="009B68E6">
        <w:rPr>
          <w:bCs/>
          <w:i/>
          <w:iCs/>
          <w:sz w:val="22"/>
        </w:rPr>
        <w:t>on una v</w:t>
      </w:r>
      <w:r w:rsidR="00CF3028">
        <w:rPr>
          <w:bCs/>
          <w:i/>
          <w:iCs/>
          <w:sz w:val="22"/>
        </w:rPr>
        <w:t xml:space="preserve">isione almeno a cinque anni, </w:t>
      </w:r>
      <w:r w:rsidR="0047728D">
        <w:rPr>
          <w:bCs/>
          <w:i/>
          <w:iCs/>
          <w:sz w:val="22"/>
        </w:rPr>
        <w:t>e da interventi più decisi della B</w:t>
      </w:r>
      <w:r w:rsidR="00CF3028">
        <w:rPr>
          <w:bCs/>
          <w:i/>
          <w:iCs/>
          <w:sz w:val="22"/>
        </w:rPr>
        <w:t xml:space="preserve">CE sui tassi, </w:t>
      </w:r>
      <w:r w:rsidR="001177B0">
        <w:rPr>
          <w:bCs/>
          <w:i/>
          <w:iCs/>
          <w:sz w:val="22"/>
        </w:rPr>
        <w:t>potrà venire u</w:t>
      </w:r>
      <w:r w:rsidR="009B68E6">
        <w:rPr>
          <w:bCs/>
          <w:i/>
          <w:iCs/>
          <w:sz w:val="22"/>
        </w:rPr>
        <w:t>na decisa spint</w:t>
      </w:r>
      <w:r w:rsidR="00DE693A">
        <w:rPr>
          <w:bCs/>
          <w:i/>
          <w:iCs/>
          <w:sz w:val="22"/>
        </w:rPr>
        <w:t xml:space="preserve">a agli investimenti, alla fiducia delle imprese e alla produttività, quindi maggior vigore alla crescita </w:t>
      </w:r>
      <w:r w:rsidR="00241B97">
        <w:rPr>
          <w:bCs/>
          <w:i/>
          <w:iCs/>
          <w:sz w:val="22"/>
        </w:rPr>
        <w:t>a fine anno</w:t>
      </w:r>
      <w:r w:rsidR="00130B5B" w:rsidRPr="00130B5B">
        <w:rPr>
          <w:bCs/>
          <w:i/>
          <w:iCs/>
          <w:sz w:val="22"/>
        </w:rPr>
        <w:t>»</w:t>
      </w:r>
      <w:r w:rsidR="00130B5B" w:rsidRPr="00130B5B">
        <w:rPr>
          <w:bCs/>
          <w:sz w:val="22"/>
        </w:rPr>
        <w:t>.</w:t>
      </w:r>
    </w:p>
    <w:p w14:paraId="7A2AA7EA" w14:textId="13291FAB" w:rsidR="0028455E" w:rsidRPr="0028455E" w:rsidRDefault="003A2A3A" w:rsidP="0028455E">
      <w:pPr>
        <w:tabs>
          <w:tab w:val="left" w:pos="9639"/>
        </w:tabs>
        <w:ind w:right="-1"/>
        <w:jc w:val="both"/>
        <w:rPr>
          <w:bCs/>
          <w:sz w:val="22"/>
        </w:rPr>
      </w:pPr>
      <w:r>
        <w:rPr>
          <w:bCs/>
          <w:i/>
          <w:iCs/>
          <w:sz w:val="22"/>
        </w:rPr>
        <w:t xml:space="preserve">«Allo stesso tempo </w:t>
      </w:r>
      <w:r w:rsidR="00424A55" w:rsidRPr="00424A55">
        <w:rPr>
          <w:bCs/>
          <w:sz w:val="22"/>
        </w:rPr>
        <w:t xml:space="preserve">- conclude Zanatta </w:t>
      </w:r>
      <w:r w:rsidR="00241B97">
        <w:rPr>
          <w:bCs/>
          <w:sz w:val="22"/>
        </w:rPr>
        <w:t xml:space="preserve">- </w:t>
      </w:r>
      <w:r w:rsidR="00852E60">
        <w:rPr>
          <w:bCs/>
          <w:i/>
          <w:iCs/>
          <w:sz w:val="22"/>
        </w:rPr>
        <w:t>s</w:t>
      </w:r>
      <w:r w:rsidR="00DE693A">
        <w:rPr>
          <w:bCs/>
          <w:i/>
          <w:iCs/>
          <w:sz w:val="22"/>
        </w:rPr>
        <w:t>erve ridurre il cost</w:t>
      </w:r>
      <w:r w:rsidR="00241B97">
        <w:rPr>
          <w:bCs/>
          <w:i/>
          <w:iCs/>
          <w:sz w:val="22"/>
        </w:rPr>
        <w:t xml:space="preserve">o dell’energia che oggi ci penalizza rispetto agli altri Paesi europei, puntare a un costo unico dell’energia, </w:t>
      </w:r>
      <w:r w:rsidR="00334956">
        <w:rPr>
          <w:bCs/>
          <w:i/>
          <w:iCs/>
          <w:sz w:val="22"/>
        </w:rPr>
        <w:t xml:space="preserve">laddove oggi l’Italia paga 86 euro a </w:t>
      </w:r>
      <w:proofErr w:type="spellStart"/>
      <w:r w:rsidR="00334956">
        <w:rPr>
          <w:bCs/>
          <w:i/>
          <w:iCs/>
          <w:sz w:val="22"/>
        </w:rPr>
        <w:t>mwh</w:t>
      </w:r>
      <w:proofErr w:type="spellEnd"/>
      <w:r w:rsidR="00334956">
        <w:rPr>
          <w:bCs/>
          <w:i/>
          <w:iCs/>
          <w:sz w:val="22"/>
        </w:rPr>
        <w:t>, la Spagna 14</w:t>
      </w:r>
      <w:r w:rsidR="00241B97">
        <w:rPr>
          <w:bCs/>
          <w:i/>
          <w:iCs/>
          <w:sz w:val="22"/>
        </w:rPr>
        <w:t>, la Francia 28, e all’indipendenza energetic</w:t>
      </w:r>
      <w:r w:rsidR="007D77EE">
        <w:rPr>
          <w:bCs/>
          <w:i/>
          <w:iCs/>
          <w:sz w:val="22"/>
        </w:rPr>
        <w:t xml:space="preserve">a, con il nucleare nel mix di fonti, </w:t>
      </w:r>
      <w:r w:rsidR="00424A55">
        <w:rPr>
          <w:bCs/>
          <w:i/>
          <w:iCs/>
          <w:sz w:val="22"/>
        </w:rPr>
        <w:t>per raggiungere gli obiettivi climatici garantendo allo stesso tempo il futuro dell’i</w:t>
      </w:r>
      <w:r w:rsidR="007D77EE">
        <w:rPr>
          <w:bCs/>
          <w:i/>
          <w:iCs/>
          <w:sz w:val="22"/>
        </w:rPr>
        <w:t>ndustria nazionale ed europea</w:t>
      </w:r>
      <w:r w:rsidR="0028455E" w:rsidRPr="0028455E">
        <w:rPr>
          <w:bCs/>
          <w:i/>
          <w:iCs/>
          <w:sz w:val="22"/>
        </w:rPr>
        <w:t>»</w:t>
      </w:r>
      <w:r w:rsidR="0028455E" w:rsidRPr="0028455E">
        <w:rPr>
          <w:bCs/>
          <w:sz w:val="22"/>
        </w:rPr>
        <w:t>.</w:t>
      </w:r>
    </w:p>
    <w:bookmarkEnd w:id="1"/>
    <w:p w14:paraId="25B96272" w14:textId="77777777" w:rsidR="008C408F" w:rsidRPr="00A01B85" w:rsidRDefault="008C408F" w:rsidP="00DF4C9B">
      <w:pPr>
        <w:tabs>
          <w:tab w:val="left" w:pos="9072"/>
        </w:tabs>
        <w:ind w:right="-1"/>
        <w:jc w:val="both"/>
        <w:rPr>
          <w:bCs/>
          <w:sz w:val="22"/>
          <w:szCs w:val="22"/>
        </w:rPr>
      </w:pPr>
    </w:p>
    <w:p w14:paraId="353714AF" w14:textId="06ECC78B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16566AD" w14:textId="77777777" w:rsidR="003A0DF1" w:rsidRPr="00FE4EBB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2A20AC60" w14:textId="77777777" w:rsidR="003A0DF1" w:rsidRPr="005A3145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sectPr w:rsidR="003A0DF1" w:rsidRPr="005A3145" w:rsidSect="001F0CF4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1386F"/>
    <w:rsid w:val="00020497"/>
    <w:rsid w:val="000228DC"/>
    <w:rsid w:val="000234D4"/>
    <w:rsid w:val="00026B07"/>
    <w:rsid w:val="00034D90"/>
    <w:rsid w:val="000552E1"/>
    <w:rsid w:val="0007180E"/>
    <w:rsid w:val="0007477A"/>
    <w:rsid w:val="0008225F"/>
    <w:rsid w:val="00083F5C"/>
    <w:rsid w:val="00085F47"/>
    <w:rsid w:val="000A2F13"/>
    <w:rsid w:val="000A586A"/>
    <w:rsid w:val="000A6752"/>
    <w:rsid w:val="000B76B3"/>
    <w:rsid w:val="000C7DC1"/>
    <w:rsid w:val="000D56FF"/>
    <w:rsid w:val="000E008D"/>
    <w:rsid w:val="000E38D0"/>
    <w:rsid w:val="000F2723"/>
    <w:rsid w:val="0010069E"/>
    <w:rsid w:val="00106400"/>
    <w:rsid w:val="00106841"/>
    <w:rsid w:val="0011206B"/>
    <w:rsid w:val="001177B0"/>
    <w:rsid w:val="00122009"/>
    <w:rsid w:val="00126E93"/>
    <w:rsid w:val="00130B5B"/>
    <w:rsid w:val="00135B19"/>
    <w:rsid w:val="0014791F"/>
    <w:rsid w:val="00151A4C"/>
    <w:rsid w:val="00156282"/>
    <w:rsid w:val="00156DFF"/>
    <w:rsid w:val="00163FC8"/>
    <w:rsid w:val="00170194"/>
    <w:rsid w:val="001724FF"/>
    <w:rsid w:val="00174000"/>
    <w:rsid w:val="001838F3"/>
    <w:rsid w:val="001874CE"/>
    <w:rsid w:val="00187D39"/>
    <w:rsid w:val="001A2440"/>
    <w:rsid w:val="001A50C8"/>
    <w:rsid w:val="001C143B"/>
    <w:rsid w:val="001C39F6"/>
    <w:rsid w:val="001C75EC"/>
    <w:rsid w:val="001E614D"/>
    <w:rsid w:val="001F0CF4"/>
    <w:rsid w:val="001F141A"/>
    <w:rsid w:val="00200CFD"/>
    <w:rsid w:val="00210AC5"/>
    <w:rsid w:val="00213579"/>
    <w:rsid w:val="00214334"/>
    <w:rsid w:val="00222CCA"/>
    <w:rsid w:val="002304B1"/>
    <w:rsid w:val="00241B97"/>
    <w:rsid w:val="0025097D"/>
    <w:rsid w:val="00257097"/>
    <w:rsid w:val="00257DF7"/>
    <w:rsid w:val="0026295C"/>
    <w:rsid w:val="002711C3"/>
    <w:rsid w:val="0027287B"/>
    <w:rsid w:val="00275069"/>
    <w:rsid w:val="002758EE"/>
    <w:rsid w:val="002776E1"/>
    <w:rsid w:val="00280BE7"/>
    <w:rsid w:val="00281C06"/>
    <w:rsid w:val="0028455E"/>
    <w:rsid w:val="002965F3"/>
    <w:rsid w:val="002A2F81"/>
    <w:rsid w:val="002B2C87"/>
    <w:rsid w:val="002B6FF4"/>
    <w:rsid w:val="002B7816"/>
    <w:rsid w:val="002C1ABD"/>
    <w:rsid w:val="002C2597"/>
    <w:rsid w:val="002C688F"/>
    <w:rsid w:val="002D46FA"/>
    <w:rsid w:val="002E1339"/>
    <w:rsid w:val="002E1BB2"/>
    <w:rsid w:val="002E7591"/>
    <w:rsid w:val="002F53A7"/>
    <w:rsid w:val="00301AC1"/>
    <w:rsid w:val="00303939"/>
    <w:rsid w:val="00307976"/>
    <w:rsid w:val="00317C5F"/>
    <w:rsid w:val="003267D6"/>
    <w:rsid w:val="00334956"/>
    <w:rsid w:val="00337566"/>
    <w:rsid w:val="00341E7C"/>
    <w:rsid w:val="0034589B"/>
    <w:rsid w:val="00346A06"/>
    <w:rsid w:val="0035364C"/>
    <w:rsid w:val="003619EB"/>
    <w:rsid w:val="003660F3"/>
    <w:rsid w:val="0037286A"/>
    <w:rsid w:val="00381AE8"/>
    <w:rsid w:val="00393432"/>
    <w:rsid w:val="003A0DF1"/>
    <w:rsid w:val="003A2A3A"/>
    <w:rsid w:val="003A2A82"/>
    <w:rsid w:val="003A6B1B"/>
    <w:rsid w:val="003B6F20"/>
    <w:rsid w:val="003C4421"/>
    <w:rsid w:val="003C6086"/>
    <w:rsid w:val="003C6413"/>
    <w:rsid w:val="003C6A25"/>
    <w:rsid w:val="003D40B3"/>
    <w:rsid w:val="003D5F35"/>
    <w:rsid w:val="003D7DEE"/>
    <w:rsid w:val="003E2E51"/>
    <w:rsid w:val="003E463A"/>
    <w:rsid w:val="003F1E5A"/>
    <w:rsid w:val="003F6122"/>
    <w:rsid w:val="00402A02"/>
    <w:rsid w:val="00405922"/>
    <w:rsid w:val="004060C6"/>
    <w:rsid w:val="00411342"/>
    <w:rsid w:val="004118E4"/>
    <w:rsid w:val="0041779A"/>
    <w:rsid w:val="00423FE3"/>
    <w:rsid w:val="00424A55"/>
    <w:rsid w:val="0043579A"/>
    <w:rsid w:val="004410D5"/>
    <w:rsid w:val="0044164F"/>
    <w:rsid w:val="00443B50"/>
    <w:rsid w:val="00451643"/>
    <w:rsid w:val="0046291E"/>
    <w:rsid w:val="00475042"/>
    <w:rsid w:val="0047728D"/>
    <w:rsid w:val="00477531"/>
    <w:rsid w:val="00477B13"/>
    <w:rsid w:val="00485D43"/>
    <w:rsid w:val="00497FE6"/>
    <w:rsid w:val="004B0354"/>
    <w:rsid w:val="004B765B"/>
    <w:rsid w:val="004C1914"/>
    <w:rsid w:val="004C3204"/>
    <w:rsid w:val="004D2E7C"/>
    <w:rsid w:val="004D7B67"/>
    <w:rsid w:val="0050328C"/>
    <w:rsid w:val="00505163"/>
    <w:rsid w:val="00507DBF"/>
    <w:rsid w:val="00512511"/>
    <w:rsid w:val="00512809"/>
    <w:rsid w:val="00513535"/>
    <w:rsid w:val="00513FC3"/>
    <w:rsid w:val="00514AED"/>
    <w:rsid w:val="0052148F"/>
    <w:rsid w:val="00523F81"/>
    <w:rsid w:val="005332F4"/>
    <w:rsid w:val="005360CF"/>
    <w:rsid w:val="0054440D"/>
    <w:rsid w:val="00554EAB"/>
    <w:rsid w:val="005634E8"/>
    <w:rsid w:val="005837EE"/>
    <w:rsid w:val="005862CA"/>
    <w:rsid w:val="00590B0A"/>
    <w:rsid w:val="0059121E"/>
    <w:rsid w:val="005A3929"/>
    <w:rsid w:val="005A69F5"/>
    <w:rsid w:val="005B640F"/>
    <w:rsid w:val="005C1EB6"/>
    <w:rsid w:val="005F1791"/>
    <w:rsid w:val="005F1EF1"/>
    <w:rsid w:val="005F4425"/>
    <w:rsid w:val="005F47F6"/>
    <w:rsid w:val="005F4D63"/>
    <w:rsid w:val="006068E3"/>
    <w:rsid w:val="006131DF"/>
    <w:rsid w:val="0063144F"/>
    <w:rsid w:val="006354B4"/>
    <w:rsid w:val="00643493"/>
    <w:rsid w:val="006502D0"/>
    <w:rsid w:val="00650AD7"/>
    <w:rsid w:val="00652A32"/>
    <w:rsid w:val="0066190A"/>
    <w:rsid w:val="006647F2"/>
    <w:rsid w:val="00664994"/>
    <w:rsid w:val="00670D24"/>
    <w:rsid w:val="006711A6"/>
    <w:rsid w:val="006924CB"/>
    <w:rsid w:val="0069250A"/>
    <w:rsid w:val="00693467"/>
    <w:rsid w:val="00694635"/>
    <w:rsid w:val="00695A9B"/>
    <w:rsid w:val="006A7184"/>
    <w:rsid w:val="006B0B8E"/>
    <w:rsid w:val="006B617A"/>
    <w:rsid w:val="006C3604"/>
    <w:rsid w:val="006C633A"/>
    <w:rsid w:val="006C63B0"/>
    <w:rsid w:val="006D69DB"/>
    <w:rsid w:val="006F2A2B"/>
    <w:rsid w:val="0070082F"/>
    <w:rsid w:val="00702BFE"/>
    <w:rsid w:val="007069C2"/>
    <w:rsid w:val="00707D9B"/>
    <w:rsid w:val="00713D5F"/>
    <w:rsid w:val="007204C0"/>
    <w:rsid w:val="00735843"/>
    <w:rsid w:val="007378D9"/>
    <w:rsid w:val="007541CA"/>
    <w:rsid w:val="00755AEA"/>
    <w:rsid w:val="0075793F"/>
    <w:rsid w:val="00757B65"/>
    <w:rsid w:val="007658AA"/>
    <w:rsid w:val="007700CE"/>
    <w:rsid w:val="00775CB3"/>
    <w:rsid w:val="00776563"/>
    <w:rsid w:val="00786980"/>
    <w:rsid w:val="00796C6F"/>
    <w:rsid w:val="007C43B7"/>
    <w:rsid w:val="007C4554"/>
    <w:rsid w:val="007C6D5E"/>
    <w:rsid w:val="007C70F5"/>
    <w:rsid w:val="007D77EE"/>
    <w:rsid w:val="007D78DE"/>
    <w:rsid w:val="007E3378"/>
    <w:rsid w:val="007F776B"/>
    <w:rsid w:val="00805418"/>
    <w:rsid w:val="00807D50"/>
    <w:rsid w:val="00810147"/>
    <w:rsid w:val="00813752"/>
    <w:rsid w:val="00852E60"/>
    <w:rsid w:val="00864F23"/>
    <w:rsid w:val="00874211"/>
    <w:rsid w:val="00875BDE"/>
    <w:rsid w:val="00876E89"/>
    <w:rsid w:val="0089191B"/>
    <w:rsid w:val="008A1070"/>
    <w:rsid w:val="008A1AB0"/>
    <w:rsid w:val="008A1BE9"/>
    <w:rsid w:val="008A5B8A"/>
    <w:rsid w:val="008B23C9"/>
    <w:rsid w:val="008B2CA9"/>
    <w:rsid w:val="008B4A22"/>
    <w:rsid w:val="008C408F"/>
    <w:rsid w:val="008C5143"/>
    <w:rsid w:val="008C7574"/>
    <w:rsid w:val="008C7918"/>
    <w:rsid w:val="008E11E9"/>
    <w:rsid w:val="008E69A7"/>
    <w:rsid w:val="008F13CE"/>
    <w:rsid w:val="008F6D5C"/>
    <w:rsid w:val="00902EE6"/>
    <w:rsid w:val="009133FE"/>
    <w:rsid w:val="0092062F"/>
    <w:rsid w:val="009279B9"/>
    <w:rsid w:val="00935149"/>
    <w:rsid w:val="00940C4B"/>
    <w:rsid w:val="00944051"/>
    <w:rsid w:val="00944C63"/>
    <w:rsid w:val="009457F5"/>
    <w:rsid w:val="00946EF6"/>
    <w:rsid w:val="009560F5"/>
    <w:rsid w:val="00961166"/>
    <w:rsid w:val="00962F67"/>
    <w:rsid w:val="00966D97"/>
    <w:rsid w:val="00966DBD"/>
    <w:rsid w:val="00980D59"/>
    <w:rsid w:val="00982102"/>
    <w:rsid w:val="00992EA7"/>
    <w:rsid w:val="0099379A"/>
    <w:rsid w:val="00997218"/>
    <w:rsid w:val="009A2DED"/>
    <w:rsid w:val="009A3E19"/>
    <w:rsid w:val="009A4420"/>
    <w:rsid w:val="009A771B"/>
    <w:rsid w:val="009B0140"/>
    <w:rsid w:val="009B40EE"/>
    <w:rsid w:val="009B68E6"/>
    <w:rsid w:val="009C3DAB"/>
    <w:rsid w:val="009E3C8F"/>
    <w:rsid w:val="009E6C83"/>
    <w:rsid w:val="009F3070"/>
    <w:rsid w:val="009F6529"/>
    <w:rsid w:val="00A01B85"/>
    <w:rsid w:val="00A06E9A"/>
    <w:rsid w:val="00A17881"/>
    <w:rsid w:val="00A30A78"/>
    <w:rsid w:val="00A34057"/>
    <w:rsid w:val="00A40406"/>
    <w:rsid w:val="00A46C2E"/>
    <w:rsid w:val="00A52C1E"/>
    <w:rsid w:val="00A53AD5"/>
    <w:rsid w:val="00A562BB"/>
    <w:rsid w:val="00A65557"/>
    <w:rsid w:val="00A700BA"/>
    <w:rsid w:val="00A713EA"/>
    <w:rsid w:val="00A77654"/>
    <w:rsid w:val="00A807D2"/>
    <w:rsid w:val="00A8779E"/>
    <w:rsid w:val="00A923C5"/>
    <w:rsid w:val="00A94D39"/>
    <w:rsid w:val="00A97193"/>
    <w:rsid w:val="00AA1CA8"/>
    <w:rsid w:val="00AA4F2C"/>
    <w:rsid w:val="00AC2EFA"/>
    <w:rsid w:val="00AD64A8"/>
    <w:rsid w:val="00AE12A8"/>
    <w:rsid w:val="00AE4918"/>
    <w:rsid w:val="00AF5A0D"/>
    <w:rsid w:val="00AF65A8"/>
    <w:rsid w:val="00B00D26"/>
    <w:rsid w:val="00B02D0D"/>
    <w:rsid w:val="00B05147"/>
    <w:rsid w:val="00B05F66"/>
    <w:rsid w:val="00B06B85"/>
    <w:rsid w:val="00B06D5F"/>
    <w:rsid w:val="00B07DEB"/>
    <w:rsid w:val="00B141F0"/>
    <w:rsid w:val="00B149F5"/>
    <w:rsid w:val="00B16933"/>
    <w:rsid w:val="00B17106"/>
    <w:rsid w:val="00B218F1"/>
    <w:rsid w:val="00B259A6"/>
    <w:rsid w:val="00B32C5B"/>
    <w:rsid w:val="00B358BA"/>
    <w:rsid w:val="00B37AF9"/>
    <w:rsid w:val="00B417E4"/>
    <w:rsid w:val="00B4314A"/>
    <w:rsid w:val="00B45412"/>
    <w:rsid w:val="00B60CA6"/>
    <w:rsid w:val="00B767C0"/>
    <w:rsid w:val="00B77380"/>
    <w:rsid w:val="00B80556"/>
    <w:rsid w:val="00B84DF8"/>
    <w:rsid w:val="00B86A6E"/>
    <w:rsid w:val="00B94161"/>
    <w:rsid w:val="00B96CA2"/>
    <w:rsid w:val="00B97CBF"/>
    <w:rsid w:val="00BA1547"/>
    <w:rsid w:val="00BA29F0"/>
    <w:rsid w:val="00BA2EAA"/>
    <w:rsid w:val="00BB2B3A"/>
    <w:rsid w:val="00BB39B8"/>
    <w:rsid w:val="00BB3BC1"/>
    <w:rsid w:val="00BC2FA6"/>
    <w:rsid w:val="00BC51C0"/>
    <w:rsid w:val="00BC52A7"/>
    <w:rsid w:val="00BE2526"/>
    <w:rsid w:val="00BE2689"/>
    <w:rsid w:val="00BE3290"/>
    <w:rsid w:val="00BF10EE"/>
    <w:rsid w:val="00BF148A"/>
    <w:rsid w:val="00BF3A47"/>
    <w:rsid w:val="00C00B4D"/>
    <w:rsid w:val="00C02F77"/>
    <w:rsid w:val="00C04580"/>
    <w:rsid w:val="00C1174A"/>
    <w:rsid w:val="00C12D3F"/>
    <w:rsid w:val="00C207C3"/>
    <w:rsid w:val="00C2371C"/>
    <w:rsid w:val="00C270CA"/>
    <w:rsid w:val="00C32145"/>
    <w:rsid w:val="00C354D2"/>
    <w:rsid w:val="00C40B8D"/>
    <w:rsid w:val="00C410C8"/>
    <w:rsid w:val="00C47126"/>
    <w:rsid w:val="00C524B1"/>
    <w:rsid w:val="00C7168C"/>
    <w:rsid w:val="00C724A3"/>
    <w:rsid w:val="00C843C5"/>
    <w:rsid w:val="00C91FCF"/>
    <w:rsid w:val="00CA5CD0"/>
    <w:rsid w:val="00CA745A"/>
    <w:rsid w:val="00CB2977"/>
    <w:rsid w:val="00CB73F6"/>
    <w:rsid w:val="00CB7406"/>
    <w:rsid w:val="00CC3E59"/>
    <w:rsid w:val="00CD165D"/>
    <w:rsid w:val="00CD234A"/>
    <w:rsid w:val="00CD2B84"/>
    <w:rsid w:val="00CD3163"/>
    <w:rsid w:val="00CE16D0"/>
    <w:rsid w:val="00CE414D"/>
    <w:rsid w:val="00CF1378"/>
    <w:rsid w:val="00CF1AAD"/>
    <w:rsid w:val="00CF3028"/>
    <w:rsid w:val="00CF34C2"/>
    <w:rsid w:val="00CF762A"/>
    <w:rsid w:val="00D00A99"/>
    <w:rsid w:val="00D01AD0"/>
    <w:rsid w:val="00D12A90"/>
    <w:rsid w:val="00D203E1"/>
    <w:rsid w:val="00D27695"/>
    <w:rsid w:val="00D424E8"/>
    <w:rsid w:val="00D444AE"/>
    <w:rsid w:val="00D536F9"/>
    <w:rsid w:val="00D57A15"/>
    <w:rsid w:val="00D62922"/>
    <w:rsid w:val="00D7263A"/>
    <w:rsid w:val="00D82F1F"/>
    <w:rsid w:val="00D941E8"/>
    <w:rsid w:val="00DA2EB0"/>
    <w:rsid w:val="00DA7BE5"/>
    <w:rsid w:val="00DB2D0E"/>
    <w:rsid w:val="00DB5A00"/>
    <w:rsid w:val="00DC20C6"/>
    <w:rsid w:val="00DC3D28"/>
    <w:rsid w:val="00DD3A95"/>
    <w:rsid w:val="00DE3065"/>
    <w:rsid w:val="00DE693A"/>
    <w:rsid w:val="00DF0B93"/>
    <w:rsid w:val="00DF3164"/>
    <w:rsid w:val="00DF4C9B"/>
    <w:rsid w:val="00DF62C6"/>
    <w:rsid w:val="00DF7F58"/>
    <w:rsid w:val="00E16D8A"/>
    <w:rsid w:val="00E21B38"/>
    <w:rsid w:val="00E273A6"/>
    <w:rsid w:val="00E3288B"/>
    <w:rsid w:val="00E34026"/>
    <w:rsid w:val="00E34330"/>
    <w:rsid w:val="00E36CA0"/>
    <w:rsid w:val="00E42AF2"/>
    <w:rsid w:val="00E44D54"/>
    <w:rsid w:val="00E4508F"/>
    <w:rsid w:val="00E45320"/>
    <w:rsid w:val="00E5141B"/>
    <w:rsid w:val="00E51B69"/>
    <w:rsid w:val="00E53A25"/>
    <w:rsid w:val="00E54CB6"/>
    <w:rsid w:val="00E66047"/>
    <w:rsid w:val="00E72FB3"/>
    <w:rsid w:val="00E80BA1"/>
    <w:rsid w:val="00E86B6C"/>
    <w:rsid w:val="00E979AC"/>
    <w:rsid w:val="00E97C95"/>
    <w:rsid w:val="00EA30FA"/>
    <w:rsid w:val="00EA4B41"/>
    <w:rsid w:val="00EA6F3D"/>
    <w:rsid w:val="00EB39EC"/>
    <w:rsid w:val="00EB4BDA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22F80"/>
    <w:rsid w:val="00F2670A"/>
    <w:rsid w:val="00F26DD8"/>
    <w:rsid w:val="00F42550"/>
    <w:rsid w:val="00F4497C"/>
    <w:rsid w:val="00F56ED1"/>
    <w:rsid w:val="00F616E3"/>
    <w:rsid w:val="00F63BF5"/>
    <w:rsid w:val="00F669AF"/>
    <w:rsid w:val="00F77D13"/>
    <w:rsid w:val="00F82D11"/>
    <w:rsid w:val="00F90D7A"/>
    <w:rsid w:val="00F911E9"/>
    <w:rsid w:val="00F914AD"/>
    <w:rsid w:val="00F92E4B"/>
    <w:rsid w:val="00F95759"/>
    <w:rsid w:val="00F95F3C"/>
    <w:rsid w:val="00F97F75"/>
    <w:rsid w:val="00FA4F32"/>
    <w:rsid w:val="00FA6771"/>
    <w:rsid w:val="00FB0CC5"/>
    <w:rsid w:val="00FB6929"/>
    <w:rsid w:val="00FB78C9"/>
    <w:rsid w:val="00FB79A0"/>
    <w:rsid w:val="00FC5EAE"/>
    <w:rsid w:val="00FD24B1"/>
    <w:rsid w:val="00FE4BD9"/>
    <w:rsid w:val="00FE4C2B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39840577-7635-4D6F-8CFC-D69B1C7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3" ma:contentTypeDescription="Creare un nuovo documento." ma:contentTypeScope="" ma:versionID="1e5315db1f2ea2397834ed3764382aa7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269d97d81a50e4ebf8b90436a81e7744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90fbd7-fc56-479d-82ac-3de529ce7eb1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E9994-838F-43CC-829D-EA15DDAC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A0DC9-86FB-4308-9BCE-23AD0CA8C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Comunicato Stampa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15</cp:revision>
  <cp:lastPrinted>2024-07-02T07:23:00Z</cp:lastPrinted>
  <dcterms:created xsi:type="dcterms:W3CDTF">2024-07-01T11:23:00Z</dcterms:created>
  <dcterms:modified xsi:type="dcterms:W3CDTF">2024-07-02T08:47:00Z</dcterms:modified>
</cp:coreProperties>
</file>